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8DB9C" w14:textId="2DD3916D" w:rsidR="00A262B7" w:rsidRPr="00584FF3" w:rsidRDefault="00416B48" w:rsidP="00802427">
      <w:pPr>
        <w:pStyle w:val="Corps"/>
        <w:spacing w:line="276" w:lineRule="auto"/>
        <w:ind w:right="-8"/>
        <w:jc w:val="both"/>
        <w:rPr>
          <w:rStyle w:val="Aucun"/>
          <w:rFonts w:ascii="Calibri" w:eastAsia="Calibri" w:hAnsi="Calibri" w:cs="Calibri"/>
          <w:bCs/>
          <w:color w:val="auto"/>
        </w:rPr>
      </w:pPr>
      <w:r>
        <w:rPr>
          <w:rStyle w:val="Aucun"/>
          <w:rFonts w:ascii="Calibri" w:eastAsia="Calibri" w:hAnsi="Calibri" w:cs="Calibri"/>
          <w:bCs/>
          <w:color w:val="auto"/>
        </w:rPr>
        <w:t>03</w:t>
      </w:r>
      <w:r w:rsidR="00C944DC">
        <w:rPr>
          <w:rStyle w:val="Aucun"/>
          <w:rFonts w:ascii="Calibri" w:eastAsia="Calibri" w:hAnsi="Calibri" w:cs="Calibri"/>
          <w:bCs/>
          <w:color w:val="auto"/>
        </w:rPr>
        <w:t>/0</w:t>
      </w:r>
      <w:r>
        <w:rPr>
          <w:rStyle w:val="Aucun"/>
          <w:rFonts w:ascii="Calibri" w:eastAsia="Calibri" w:hAnsi="Calibri" w:cs="Calibri"/>
          <w:bCs/>
          <w:color w:val="auto"/>
        </w:rPr>
        <w:t>2</w:t>
      </w:r>
      <w:r w:rsidR="00C944DC">
        <w:rPr>
          <w:rStyle w:val="Aucun"/>
          <w:rFonts w:ascii="Calibri" w:eastAsia="Calibri" w:hAnsi="Calibri" w:cs="Calibri"/>
          <w:bCs/>
          <w:color w:val="auto"/>
        </w:rPr>
        <w:t>/2023</w:t>
      </w:r>
    </w:p>
    <w:p w14:paraId="0E1DBB94" w14:textId="0705CD48" w:rsidR="00A262B7" w:rsidRPr="00584FF3" w:rsidRDefault="002633D6" w:rsidP="00802427">
      <w:pPr>
        <w:pStyle w:val="Corps"/>
        <w:spacing w:line="276" w:lineRule="auto"/>
        <w:ind w:right="-8"/>
        <w:jc w:val="both"/>
        <w:rPr>
          <w:rStyle w:val="Aucun"/>
          <w:rFonts w:ascii="Calibri" w:eastAsia="Calibri" w:hAnsi="Calibri" w:cs="Calibri"/>
          <w:bCs/>
          <w:color w:val="auto"/>
        </w:rPr>
      </w:pPr>
      <w:r>
        <w:rPr>
          <w:noProof/>
        </w:rPr>
        <w:drawing>
          <wp:anchor distT="0" distB="0" distL="114300" distR="114300" simplePos="0" relativeHeight="251660800" behindDoc="0" locked="0" layoutInCell="1" allowOverlap="1" wp14:anchorId="48277CDA" wp14:editId="795EFCDB">
            <wp:simplePos x="0" y="0"/>
            <wp:positionH relativeFrom="column">
              <wp:posOffset>4602480</wp:posOffset>
            </wp:positionH>
            <wp:positionV relativeFrom="paragraph">
              <wp:posOffset>89535</wp:posOffset>
            </wp:positionV>
            <wp:extent cx="990600" cy="1024890"/>
            <wp:effectExtent l="0" t="0" r="0" b="3810"/>
            <wp:wrapNone/>
            <wp:docPr id="97" name="Picture 2" descr="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2" descr="Picture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0600" cy="1024890"/>
                    </a:xfrm>
                    <a:prstGeom prst="rect">
                      <a:avLst/>
                    </a:prstGeom>
                    <a:ln w="12700">
                      <a:miter lim="400000"/>
                    </a:ln>
                  </pic:spPr>
                </pic:pic>
              </a:graphicData>
            </a:graphic>
          </wp:anchor>
        </w:drawing>
      </w:r>
    </w:p>
    <w:p w14:paraId="6871894F" w14:textId="6FB58127" w:rsidR="00F67D5D" w:rsidRPr="00584FF3" w:rsidRDefault="00F67D5D" w:rsidP="00802427">
      <w:pPr>
        <w:pStyle w:val="Corps"/>
        <w:spacing w:line="276" w:lineRule="auto"/>
        <w:ind w:right="-8"/>
        <w:jc w:val="both"/>
        <w:rPr>
          <w:rStyle w:val="Aucun"/>
          <w:rFonts w:ascii="Calibri" w:hAnsi="Calibri"/>
          <w:sz w:val="40"/>
          <w:szCs w:val="40"/>
        </w:rPr>
      </w:pPr>
      <w:r w:rsidRPr="00584FF3">
        <w:rPr>
          <w:rStyle w:val="Aucun"/>
          <w:rFonts w:ascii="Calibri" w:hAnsi="Calibri"/>
          <w:noProof/>
          <w:sz w:val="40"/>
          <w:szCs w:val="40"/>
        </w:rPr>
        <w:drawing>
          <wp:anchor distT="0" distB="0" distL="114300" distR="114300" simplePos="0" relativeHeight="251655680" behindDoc="0" locked="0" layoutInCell="1" allowOverlap="1" wp14:anchorId="19F9E986" wp14:editId="0BABC661">
            <wp:simplePos x="0" y="0"/>
            <wp:positionH relativeFrom="column">
              <wp:posOffset>69215</wp:posOffset>
            </wp:positionH>
            <wp:positionV relativeFrom="paragraph">
              <wp:posOffset>86995</wp:posOffset>
            </wp:positionV>
            <wp:extent cx="1711325" cy="828675"/>
            <wp:effectExtent l="0" t="0" r="3175" b="9525"/>
            <wp:wrapNone/>
            <wp:docPr id="4" name="Image 4" descr="C:\Users\jtoubas\Desktop\d4672.jpg"/>
            <wp:cNvGraphicFramePr/>
            <a:graphic xmlns:a="http://schemas.openxmlformats.org/drawingml/2006/main">
              <a:graphicData uri="http://schemas.openxmlformats.org/drawingml/2006/picture">
                <pic:pic xmlns:pic="http://schemas.openxmlformats.org/drawingml/2006/picture">
                  <pic:nvPicPr>
                    <pic:cNvPr id="1" name="Image 1" descr="C:\Users\jtoubas\Desktop\d4672.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11325" cy="828675"/>
                    </a:xfrm>
                    <a:prstGeom prst="rect">
                      <a:avLst/>
                    </a:prstGeom>
                    <a:noFill/>
                    <a:ln>
                      <a:noFill/>
                    </a:ln>
                  </pic:spPr>
                </pic:pic>
              </a:graphicData>
            </a:graphic>
          </wp:anchor>
        </w:drawing>
      </w:r>
      <w:r w:rsidRPr="00584FF3">
        <w:rPr>
          <w:rStyle w:val="Aucun"/>
          <w:rFonts w:ascii="Calibri" w:hAnsi="Calibri"/>
          <w:noProof/>
          <w:sz w:val="40"/>
          <w:szCs w:val="40"/>
        </w:rPr>
        <w:drawing>
          <wp:anchor distT="0" distB="0" distL="114300" distR="114300" simplePos="0" relativeHeight="251657728" behindDoc="0" locked="0" layoutInCell="1" allowOverlap="1" wp14:anchorId="1152C46C" wp14:editId="2F46173C">
            <wp:simplePos x="0" y="0"/>
            <wp:positionH relativeFrom="column">
              <wp:posOffset>2102485</wp:posOffset>
            </wp:positionH>
            <wp:positionV relativeFrom="paragraph">
              <wp:posOffset>635</wp:posOffset>
            </wp:positionV>
            <wp:extent cx="2038350" cy="741045"/>
            <wp:effectExtent l="0" t="0" r="0" b="1905"/>
            <wp:wrapNone/>
            <wp:docPr id="5" name="Image 5" descr="C:\Users\jtoubas\Desktop\téléchargement.jpg"/>
            <wp:cNvGraphicFramePr/>
            <a:graphic xmlns:a="http://schemas.openxmlformats.org/drawingml/2006/main">
              <a:graphicData uri="http://schemas.openxmlformats.org/drawingml/2006/picture">
                <pic:pic xmlns:pic="http://schemas.openxmlformats.org/drawingml/2006/picture">
                  <pic:nvPicPr>
                    <pic:cNvPr id="2" name="Image 2" descr="C:\Users\jtoubas\Desktop\téléchargement.jpg"/>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8350" cy="741045"/>
                    </a:xfrm>
                    <a:prstGeom prst="rect">
                      <a:avLst/>
                    </a:prstGeom>
                    <a:noFill/>
                    <a:ln>
                      <a:noFill/>
                    </a:ln>
                  </pic:spPr>
                </pic:pic>
              </a:graphicData>
            </a:graphic>
          </wp:anchor>
        </w:drawing>
      </w:r>
    </w:p>
    <w:p w14:paraId="66AD7E87" w14:textId="57D44FCA" w:rsidR="00F67D5D" w:rsidRPr="00584FF3" w:rsidRDefault="00F67D5D" w:rsidP="00802427">
      <w:pPr>
        <w:pStyle w:val="Corps"/>
        <w:spacing w:line="276" w:lineRule="auto"/>
        <w:jc w:val="both"/>
        <w:rPr>
          <w:rStyle w:val="Aucun"/>
          <w:rFonts w:ascii="Calibri" w:hAnsi="Calibri"/>
          <w:sz w:val="40"/>
          <w:szCs w:val="40"/>
        </w:rPr>
      </w:pPr>
    </w:p>
    <w:p w14:paraId="18C45B1C" w14:textId="0952CCA1" w:rsidR="00F67D5D" w:rsidRPr="00584FF3" w:rsidRDefault="00F67D5D" w:rsidP="00802427">
      <w:pPr>
        <w:pStyle w:val="Corps"/>
        <w:spacing w:line="276" w:lineRule="auto"/>
        <w:jc w:val="both"/>
        <w:rPr>
          <w:rStyle w:val="Aucun"/>
          <w:rFonts w:ascii="Calibri" w:hAnsi="Calibri"/>
          <w:sz w:val="40"/>
          <w:szCs w:val="40"/>
        </w:rPr>
      </w:pPr>
    </w:p>
    <w:p w14:paraId="6238C13A" w14:textId="77777777" w:rsidR="0097517B" w:rsidRDefault="0097517B" w:rsidP="00802427">
      <w:pPr>
        <w:pStyle w:val="Default"/>
        <w:spacing w:line="276" w:lineRule="auto"/>
        <w:jc w:val="both"/>
      </w:pPr>
    </w:p>
    <w:p w14:paraId="61C9C9D0" w14:textId="327D47EB" w:rsidR="00802427" w:rsidRDefault="00FD3671" w:rsidP="00802427">
      <w:pPr>
        <w:pStyle w:val="Corps"/>
        <w:pBdr>
          <w:top w:val="single" w:sz="4" w:space="1" w:color="auto"/>
          <w:left w:val="single" w:sz="4" w:space="1" w:color="auto"/>
          <w:bottom w:val="single" w:sz="4" w:space="1" w:color="auto"/>
          <w:right w:val="single" w:sz="4" w:space="1" w:color="auto"/>
        </w:pBdr>
        <w:spacing w:line="276" w:lineRule="auto"/>
        <w:jc w:val="center"/>
        <w:rPr>
          <w:rFonts w:ascii="Calibri" w:hAnsi="Calibri" w:cs="Calibri"/>
          <w:b/>
          <w:bCs/>
          <w:sz w:val="28"/>
          <w:szCs w:val="28"/>
        </w:rPr>
      </w:pPr>
      <w:r>
        <w:rPr>
          <w:rFonts w:ascii="Calibri" w:hAnsi="Calibri" w:cs="Calibri"/>
          <w:b/>
          <w:bCs/>
          <w:sz w:val="28"/>
          <w:szCs w:val="28"/>
        </w:rPr>
        <w:t>Effets d</w:t>
      </w:r>
      <w:r w:rsidR="00C944DC">
        <w:rPr>
          <w:rFonts w:ascii="Calibri" w:hAnsi="Calibri" w:cs="Calibri"/>
          <w:b/>
          <w:bCs/>
          <w:sz w:val="28"/>
          <w:szCs w:val="28"/>
        </w:rPr>
        <w:t>u</w:t>
      </w:r>
      <w:r>
        <w:rPr>
          <w:rFonts w:ascii="Calibri" w:hAnsi="Calibri" w:cs="Calibri"/>
          <w:b/>
          <w:bCs/>
          <w:sz w:val="28"/>
          <w:szCs w:val="28"/>
        </w:rPr>
        <w:t xml:space="preserve"> traitement par </w:t>
      </w:r>
      <w:proofErr w:type="spellStart"/>
      <w:r>
        <w:rPr>
          <w:rFonts w:ascii="Calibri" w:hAnsi="Calibri" w:cs="Calibri"/>
          <w:b/>
          <w:bCs/>
          <w:sz w:val="28"/>
          <w:szCs w:val="28"/>
        </w:rPr>
        <w:t>Elexacaftor</w:t>
      </w:r>
      <w:proofErr w:type="spellEnd"/>
      <w:r>
        <w:rPr>
          <w:rFonts w:ascii="Calibri" w:hAnsi="Calibri" w:cs="Calibri"/>
          <w:b/>
          <w:bCs/>
          <w:sz w:val="28"/>
          <w:szCs w:val="28"/>
        </w:rPr>
        <w:t>/</w:t>
      </w:r>
      <w:proofErr w:type="spellStart"/>
      <w:r>
        <w:rPr>
          <w:rFonts w:ascii="Calibri" w:hAnsi="Calibri" w:cs="Calibri"/>
          <w:b/>
          <w:bCs/>
          <w:sz w:val="28"/>
          <w:szCs w:val="28"/>
        </w:rPr>
        <w:t>Tezacaftor</w:t>
      </w:r>
      <w:proofErr w:type="spellEnd"/>
      <w:r>
        <w:rPr>
          <w:rFonts w:ascii="Calibri" w:hAnsi="Calibri" w:cs="Calibri"/>
          <w:b/>
          <w:bCs/>
          <w:sz w:val="28"/>
          <w:szCs w:val="28"/>
        </w:rPr>
        <w:t>/</w:t>
      </w:r>
      <w:proofErr w:type="spellStart"/>
      <w:r>
        <w:rPr>
          <w:rFonts w:ascii="Calibri" w:hAnsi="Calibri" w:cs="Calibri"/>
          <w:b/>
          <w:bCs/>
          <w:sz w:val="28"/>
          <w:szCs w:val="28"/>
        </w:rPr>
        <w:t>Ivacaftor</w:t>
      </w:r>
      <w:proofErr w:type="spellEnd"/>
      <w:r>
        <w:rPr>
          <w:rFonts w:ascii="Calibri" w:hAnsi="Calibri" w:cs="Calibri"/>
          <w:b/>
          <w:bCs/>
          <w:sz w:val="28"/>
          <w:szCs w:val="28"/>
        </w:rPr>
        <w:t xml:space="preserve"> chez les patients ayant la mucoviscidose et portant des mutations autre</w:t>
      </w:r>
      <w:r w:rsidR="00C944DC">
        <w:rPr>
          <w:rFonts w:ascii="Calibri" w:hAnsi="Calibri" w:cs="Calibri"/>
          <w:b/>
          <w:bCs/>
          <w:sz w:val="28"/>
          <w:szCs w:val="28"/>
        </w:rPr>
        <w:t>s</w:t>
      </w:r>
      <w:r>
        <w:rPr>
          <w:rFonts w:ascii="Calibri" w:hAnsi="Calibri" w:cs="Calibri"/>
          <w:b/>
          <w:bCs/>
          <w:sz w:val="28"/>
          <w:szCs w:val="28"/>
        </w:rPr>
        <w:t xml:space="preserve"> que F508del </w:t>
      </w:r>
    </w:p>
    <w:p w14:paraId="3FE0BEA4" w14:textId="77777777" w:rsidR="0084000A" w:rsidRPr="00584FF3" w:rsidRDefault="0084000A" w:rsidP="00802427">
      <w:pPr>
        <w:pStyle w:val="Corps"/>
        <w:spacing w:line="276" w:lineRule="auto"/>
        <w:jc w:val="both"/>
        <w:rPr>
          <w:rStyle w:val="Aucun"/>
          <w:rFonts w:ascii="Calibri" w:hAnsi="Calibri"/>
          <w:color w:val="auto"/>
        </w:rPr>
      </w:pPr>
    </w:p>
    <w:p w14:paraId="2BFE7A89" w14:textId="77777777" w:rsidR="0084000A" w:rsidRPr="00684E33" w:rsidRDefault="0084000A" w:rsidP="00802427">
      <w:pPr>
        <w:pStyle w:val="Corps"/>
        <w:spacing w:line="276" w:lineRule="auto"/>
        <w:jc w:val="both"/>
        <w:rPr>
          <w:rStyle w:val="Aucun"/>
          <w:rFonts w:ascii="Calibri" w:hAnsi="Calibri"/>
          <w:color w:val="auto"/>
        </w:rPr>
      </w:pPr>
    </w:p>
    <w:p w14:paraId="1EECEFB0" w14:textId="321FA373" w:rsidR="00FD3671" w:rsidRPr="00416B48" w:rsidRDefault="00FD3671" w:rsidP="00FD3671">
      <w:pPr>
        <w:jc w:val="both"/>
        <w:rPr>
          <w:rFonts w:ascii="Calibri" w:hAnsi="Calibri" w:cs="Calibri"/>
          <w:b/>
          <w:sz w:val="22"/>
          <w:szCs w:val="22"/>
          <w:lang w:val="fr-FR"/>
        </w:rPr>
      </w:pPr>
      <w:r w:rsidRPr="00416B48">
        <w:rPr>
          <w:rFonts w:ascii="Calibri" w:hAnsi="Calibri" w:cs="Calibri"/>
          <w:b/>
          <w:sz w:val="22"/>
          <w:szCs w:val="22"/>
          <w:lang w:val="fr-FR"/>
        </w:rPr>
        <w:t xml:space="preserve">Titre </w:t>
      </w:r>
      <w:proofErr w:type="gramStart"/>
      <w:r w:rsidRPr="00416B48">
        <w:rPr>
          <w:rFonts w:ascii="Calibri" w:hAnsi="Calibri" w:cs="Calibri"/>
          <w:b/>
          <w:sz w:val="22"/>
          <w:szCs w:val="22"/>
          <w:lang w:val="fr-FR"/>
        </w:rPr>
        <w:t>simplifié:</w:t>
      </w:r>
      <w:proofErr w:type="gramEnd"/>
    </w:p>
    <w:p w14:paraId="02B3F04F" w14:textId="6D94E499" w:rsidR="00FD3671" w:rsidRPr="00C944DC" w:rsidRDefault="00FD3671" w:rsidP="00FD3671">
      <w:pPr>
        <w:jc w:val="both"/>
        <w:rPr>
          <w:rFonts w:ascii="Calibri" w:hAnsi="Calibri" w:cs="Calibri"/>
          <w:bCs/>
          <w:sz w:val="22"/>
          <w:szCs w:val="22"/>
          <w:lang w:val="fr-FR"/>
        </w:rPr>
      </w:pPr>
      <w:r w:rsidRPr="00C944DC">
        <w:rPr>
          <w:rFonts w:ascii="Calibri" w:hAnsi="Calibri" w:cs="Calibri"/>
          <w:bCs/>
          <w:sz w:val="22"/>
          <w:szCs w:val="22"/>
          <w:lang w:val="fr-FR"/>
        </w:rPr>
        <w:t xml:space="preserve">Les effets de </w:t>
      </w:r>
      <w:proofErr w:type="spellStart"/>
      <w:r w:rsidRPr="00C944DC">
        <w:rPr>
          <w:rFonts w:ascii="Calibri" w:hAnsi="Calibri" w:cs="Calibri"/>
          <w:bCs/>
          <w:sz w:val="22"/>
          <w:szCs w:val="22"/>
          <w:lang w:val="fr-FR"/>
        </w:rPr>
        <w:t>Trikafta</w:t>
      </w:r>
      <w:proofErr w:type="spellEnd"/>
      <w:r w:rsidRPr="00C944DC">
        <w:rPr>
          <w:rFonts w:ascii="Calibri" w:hAnsi="Calibri" w:cs="Calibri"/>
          <w:bCs/>
          <w:sz w:val="22"/>
          <w:szCs w:val="22"/>
          <w:lang w:val="fr-FR"/>
        </w:rPr>
        <w:t>/</w:t>
      </w:r>
      <w:proofErr w:type="spellStart"/>
      <w:r w:rsidRPr="00C944DC">
        <w:rPr>
          <w:rFonts w:ascii="Calibri" w:hAnsi="Calibri" w:cs="Calibri"/>
          <w:bCs/>
          <w:sz w:val="22"/>
          <w:szCs w:val="22"/>
          <w:lang w:val="fr-FR"/>
        </w:rPr>
        <w:t>Kaftrio</w:t>
      </w:r>
      <w:proofErr w:type="spellEnd"/>
      <w:r w:rsidRPr="00C944DC">
        <w:rPr>
          <w:rFonts w:ascii="Calibri" w:hAnsi="Calibri" w:cs="Calibri"/>
          <w:bCs/>
          <w:sz w:val="22"/>
          <w:szCs w:val="22"/>
          <w:lang w:val="fr-FR"/>
        </w:rPr>
        <w:t xml:space="preserve"> chez les p</w:t>
      </w:r>
      <w:r w:rsidR="00CC243A">
        <w:rPr>
          <w:rFonts w:ascii="Calibri" w:hAnsi="Calibri" w:cs="Calibri"/>
          <w:bCs/>
          <w:sz w:val="22"/>
          <w:szCs w:val="22"/>
          <w:lang w:val="fr-FR"/>
        </w:rPr>
        <w:t>ersonnes atteintes de mucoviscidose</w:t>
      </w:r>
      <w:r w:rsidRPr="00C944DC">
        <w:rPr>
          <w:rFonts w:ascii="Calibri" w:hAnsi="Calibri" w:cs="Calibri"/>
          <w:bCs/>
          <w:sz w:val="22"/>
          <w:szCs w:val="22"/>
          <w:lang w:val="fr-FR"/>
        </w:rPr>
        <w:t xml:space="preserve"> ayant d’autres mutations que la plus commune (F508del)</w:t>
      </w:r>
    </w:p>
    <w:p w14:paraId="4C16B11C" w14:textId="77777777" w:rsidR="00FD3671" w:rsidRPr="00FD3671" w:rsidRDefault="00FD3671" w:rsidP="00FD3671">
      <w:pPr>
        <w:jc w:val="both"/>
        <w:rPr>
          <w:rFonts w:cstheme="minorHAnsi"/>
          <w:bCs/>
          <w:lang w:val="fr-FR"/>
        </w:rPr>
      </w:pPr>
    </w:p>
    <w:p w14:paraId="1D9551AC" w14:textId="185725C0" w:rsidR="00FD3671" w:rsidRPr="00FD3671" w:rsidRDefault="00FD3671" w:rsidP="00FD3671">
      <w:pPr>
        <w:jc w:val="both"/>
        <w:rPr>
          <w:rFonts w:ascii="Calibri" w:hAnsi="Calibri" w:cs="Calibri"/>
          <w:sz w:val="22"/>
          <w:szCs w:val="22"/>
          <w:lang w:val="fr-FR"/>
        </w:rPr>
      </w:pPr>
      <w:proofErr w:type="gramStart"/>
      <w:r w:rsidRPr="00FD3671">
        <w:rPr>
          <w:rFonts w:ascii="Calibri" w:hAnsi="Calibri" w:cs="Calibri"/>
          <w:b/>
          <w:sz w:val="22"/>
          <w:szCs w:val="22"/>
          <w:lang w:val="fr-FR"/>
        </w:rPr>
        <w:t>Auteurs:</w:t>
      </w:r>
      <w:proofErr w:type="gramEnd"/>
    </w:p>
    <w:p w14:paraId="046AFD71" w14:textId="347EC59A" w:rsidR="00FD3671" w:rsidRPr="00BC405A" w:rsidRDefault="00FD3671" w:rsidP="00FD3671">
      <w:pPr>
        <w:jc w:val="both"/>
        <w:rPr>
          <w:rFonts w:ascii="Calibri" w:hAnsi="Calibri" w:cs="Calibri"/>
          <w:vertAlign w:val="superscript"/>
          <w:lang w:val="fr-FR"/>
        </w:rPr>
      </w:pPr>
      <w:proofErr w:type="spellStart"/>
      <w:r w:rsidRPr="00BC405A">
        <w:rPr>
          <w:rFonts w:ascii="Calibri" w:hAnsi="Calibri" w:cs="Calibri"/>
          <w:lang w:val="fr-FR"/>
        </w:rPr>
        <w:t>Livnat</w:t>
      </w:r>
      <w:proofErr w:type="spellEnd"/>
      <w:r w:rsidRPr="00BC405A">
        <w:rPr>
          <w:rFonts w:ascii="Calibri" w:hAnsi="Calibri" w:cs="Calibri"/>
          <w:lang w:val="fr-FR"/>
        </w:rPr>
        <w:t xml:space="preserve"> G</w:t>
      </w:r>
      <w:r w:rsidRPr="00BC405A">
        <w:rPr>
          <w:rFonts w:ascii="Calibri" w:hAnsi="Calibri" w:cs="Calibri"/>
          <w:vertAlign w:val="superscript"/>
          <w:lang w:val="fr-FR"/>
        </w:rPr>
        <w:t>1,2</w:t>
      </w:r>
      <w:r w:rsidRPr="00BC405A">
        <w:rPr>
          <w:rFonts w:ascii="Calibri" w:hAnsi="Calibri" w:cs="Calibri"/>
          <w:lang w:val="fr-FR"/>
        </w:rPr>
        <w:t>, Dagan A</w:t>
      </w:r>
      <w:r w:rsidRPr="00BC405A">
        <w:rPr>
          <w:rFonts w:ascii="Calibri" w:hAnsi="Calibri" w:cs="Calibri"/>
          <w:vertAlign w:val="superscript"/>
          <w:lang w:val="fr-FR"/>
        </w:rPr>
        <w:t>3</w:t>
      </w:r>
      <w:r w:rsidRPr="00BC405A">
        <w:rPr>
          <w:rFonts w:ascii="Calibri" w:hAnsi="Calibri" w:cs="Calibri"/>
          <w:lang w:val="fr-FR"/>
        </w:rPr>
        <w:t xml:space="preserve">, </w:t>
      </w:r>
      <w:proofErr w:type="spellStart"/>
      <w:r w:rsidRPr="00BC405A">
        <w:rPr>
          <w:rFonts w:ascii="Calibri" w:hAnsi="Calibri" w:cs="Calibri"/>
          <w:lang w:val="fr-FR"/>
        </w:rPr>
        <w:t>Heching</w:t>
      </w:r>
      <w:proofErr w:type="spellEnd"/>
      <w:r w:rsidRPr="00BC405A">
        <w:rPr>
          <w:rFonts w:ascii="Calibri" w:hAnsi="Calibri" w:cs="Calibri"/>
          <w:lang w:val="fr-FR"/>
        </w:rPr>
        <w:t xml:space="preserve"> M</w:t>
      </w:r>
      <w:r w:rsidRPr="00BC405A">
        <w:rPr>
          <w:rFonts w:ascii="Calibri" w:hAnsi="Calibri" w:cs="Calibri"/>
          <w:vertAlign w:val="superscript"/>
          <w:lang w:val="fr-FR"/>
        </w:rPr>
        <w:t>4</w:t>
      </w:r>
      <w:r w:rsidRPr="00BC405A">
        <w:rPr>
          <w:rFonts w:ascii="Calibri" w:hAnsi="Calibri" w:cs="Calibri"/>
          <w:lang w:val="fr-FR"/>
        </w:rPr>
        <w:t xml:space="preserve">, </w:t>
      </w:r>
      <w:proofErr w:type="spellStart"/>
      <w:r w:rsidRPr="00BC405A">
        <w:rPr>
          <w:rFonts w:ascii="Calibri" w:hAnsi="Calibri" w:cs="Calibri"/>
          <w:lang w:val="fr-FR"/>
        </w:rPr>
        <w:t>Shmueli</w:t>
      </w:r>
      <w:proofErr w:type="spellEnd"/>
      <w:r w:rsidRPr="00BC405A">
        <w:rPr>
          <w:rFonts w:ascii="Calibri" w:hAnsi="Calibri" w:cs="Calibri"/>
          <w:lang w:val="fr-FR"/>
        </w:rPr>
        <w:t xml:space="preserve"> E</w:t>
      </w:r>
      <w:r w:rsidRPr="00BC405A">
        <w:rPr>
          <w:rFonts w:ascii="Calibri" w:hAnsi="Calibri" w:cs="Calibri"/>
          <w:vertAlign w:val="superscript"/>
          <w:lang w:val="fr-FR"/>
        </w:rPr>
        <w:t>5</w:t>
      </w:r>
      <w:r w:rsidRPr="00BC405A">
        <w:rPr>
          <w:rFonts w:ascii="Calibri" w:hAnsi="Calibri" w:cs="Calibri"/>
          <w:lang w:val="fr-FR"/>
        </w:rPr>
        <w:t xml:space="preserve">, </w:t>
      </w:r>
      <w:proofErr w:type="spellStart"/>
      <w:r w:rsidRPr="00BC405A">
        <w:rPr>
          <w:rFonts w:ascii="Calibri" w:hAnsi="Calibri" w:cs="Calibri"/>
          <w:lang w:val="fr-FR"/>
        </w:rPr>
        <w:t>Prais</w:t>
      </w:r>
      <w:proofErr w:type="spellEnd"/>
      <w:r w:rsidRPr="00BC405A">
        <w:rPr>
          <w:rFonts w:ascii="Calibri" w:hAnsi="Calibri" w:cs="Calibri"/>
          <w:lang w:val="fr-FR"/>
        </w:rPr>
        <w:t xml:space="preserve"> D</w:t>
      </w:r>
      <w:r w:rsidRPr="00BC405A">
        <w:rPr>
          <w:rFonts w:ascii="Calibri" w:hAnsi="Calibri" w:cs="Calibri"/>
          <w:vertAlign w:val="superscript"/>
          <w:lang w:val="fr-FR"/>
        </w:rPr>
        <w:t>5, 10</w:t>
      </w:r>
      <w:r w:rsidRPr="00BC405A">
        <w:rPr>
          <w:rFonts w:ascii="Calibri" w:hAnsi="Calibri" w:cs="Calibri"/>
          <w:lang w:val="fr-FR"/>
        </w:rPr>
        <w:t xml:space="preserve">, </w:t>
      </w:r>
      <w:proofErr w:type="spellStart"/>
      <w:r w:rsidRPr="00BC405A">
        <w:rPr>
          <w:rFonts w:ascii="Calibri" w:hAnsi="Calibri" w:cs="Calibri"/>
          <w:lang w:val="fr-FR"/>
        </w:rPr>
        <w:t>Yaacoby-Bianu</w:t>
      </w:r>
      <w:proofErr w:type="spellEnd"/>
      <w:r w:rsidRPr="00BC405A">
        <w:rPr>
          <w:rFonts w:ascii="Calibri" w:hAnsi="Calibri" w:cs="Calibri"/>
          <w:lang w:val="fr-FR"/>
        </w:rPr>
        <w:t xml:space="preserve"> K</w:t>
      </w:r>
      <w:r w:rsidRPr="00BC405A">
        <w:rPr>
          <w:rFonts w:ascii="Calibri" w:hAnsi="Calibri" w:cs="Calibri"/>
          <w:vertAlign w:val="superscript"/>
          <w:lang w:val="fr-FR"/>
        </w:rPr>
        <w:t>1,2</w:t>
      </w:r>
      <w:r w:rsidRPr="00BC405A">
        <w:rPr>
          <w:rFonts w:ascii="Calibri" w:hAnsi="Calibri" w:cs="Calibri"/>
          <w:lang w:val="fr-FR"/>
        </w:rPr>
        <w:t>, Stein N</w:t>
      </w:r>
      <w:proofErr w:type="gramStart"/>
      <w:r w:rsidRPr="00BC405A">
        <w:rPr>
          <w:rFonts w:ascii="Calibri" w:hAnsi="Calibri" w:cs="Calibri"/>
          <w:vertAlign w:val="superscript"/>
          <w:lang w:val="fr-FR"/>
        </w:rPr>
        <w:t>6</w:t>
      </w:r>
      <w:r w:rsidRPr="00BC405A">
        <w:rPr>
          <w:rFonts w:ascii="Calibri" w:hAnsi="Calibri" w:cs="Calibri"/>
          <w:lang w:val="fr-FR"/>
        </w:rPr>
        <w:t>,  Mei</w:t>
      </w:r>
      <w:proofErr w:type="gramEnd"/>
      <w:r w:rsidRPr="00BC405A">
        <w:rPr>
          <w:rFonts w:ascii="Calibri" w:hAnsi="Calibri" w:cs="Calibri"/>
          <w:lang w:val="fr-FR"/>
        </w:rPr>
        <w:t>-</w:t>
      </w:r>
      <w:proofErr w:type="spellStart"/>
      <w:r w:rsidRPr="00BC405A">
        <w:rPr>
          <w:rFonts w:ascii="Calibri" w:hAnsi="Calibri" w:cs="Calibri"/>
          <w:lang w:val="fr-FR"/>
        </w:rPr>
        <w:t>Zahav</w:t>
      </w:r>
      <w:proofErr w:type="spellEnd"/>
      <w:r w:rsidRPr="00BC405A">
        <w:rPr>
          <w:rFonts w:ascii="Calibri" w:hAnsi="Calibri" w:cs="Calibri"/>
          <w:lang w:val="fr-FR"/>
        </w:rPr>
        <w:t xml:space="preserve"> M</w:t>
      </w:r>
      <w:r w:rsidRPr="00BC405A">
        <w:rPr>
          <w:rFonts w:ascii="Calibri" w:hAnsi="Calibri" w:cs="Calibri"/>
          <w:vertAlign w:val="superscript"/>
          <w:lang w:val="fr-FR"/>
        </w:rPr>
        <w:t xml:space="preserve">5,10 </w:t>
      </w:r>
      <w:r w:rsidRPr="00BC405A">
        <w:rPr>
          <w:rFonts w:ascii="Calibri" w:hAnsi="Calibri" w:cs="Calibri"/>
          <w:lang w:val="fr-FR"/>
        </w:rPr>
        <w:t xml:space="preserve">, </w:t>
      </w:r>
      <w:proofErr w:type="spellStart"/>
      <w:r w:rsidRPr="00BC405A">
        <w:rPr>
          <w:rFonts w:ascii="Calibri" w:hAnsi="Calibri" w:cs="Calibri"/>
          <w:lang w:val="fr-FR"/>
        </w:rPr>
        <w:t>Gur</w:t>
      </w:r>
      <w:proofErr w:type="spellEnd"/>
      <w:r w:rsidRPr="00BC405A">
        <w:rPr>
          <w:rFonts w:ascii="Calibri" w:hAnsi="Calibri" w:cs="Calibri"/>
          <w:lang w:val="fr-FR"/>
        </w:rPr>
        <w:t xml:space="preserve"> M</w:t>
      </w:r>
      <w:r w:rsidRPr="00BC405A">
        <w:rPr>
          <w:rFonts w:ascii="Calibri" w:hAnsi="Calibri" w:cs="Calibri"/>
          <w:vertAlign w:val="superscript"/>
          <w:lang w:val="fr-FR"/>
        </w:rPr>
        <w:t>7,2</w:t>
      </w:r>
      <w:r w:rsidRPr="00BC405A">
        <w:rPr>
          <w:rFonts w:ascii="Calibri" w:hAnsi="Calibri" w:cs="Calibri"/>
          <w:lang w:val="fr-FR"/>
        </w:rPr>
        <w:t>, Cohen-</w:t>
      </w:r>
      <w:proofErr w:type="spellStart"/>
      <w:r w:rsidRPr="00BC405A">
        <w:rPr>
          <w:rFonts w:ascii="Calibri" w:hAnsi="Calibri" w:cs="Calibri"/>
          <w:lang w:val="fr-FR"/>
        </w:rPr>
        <w:t>Cymberknoh</w:t>
      </w:r>
      <w:proofErr w:type="spellEnd"/>
      <w:r w:rsidRPr="00BC405A">
        <w:rPr>
          <w:rFonts w:ascii="Calibri" w:hAnsi="Calibri" w:cs="Calibri"/>
          <w:lang w:val="fr-FR"/>
        </w:rPr>
        <w:t xml:space="preserve"> M</w:t>
      </w:r>
      <w:r w:rsidRPr="00BC405A">
        <w:rPr>
          <w:rFonts w:ascii="Calibri" w:hAnsi="Calibri" w:cs="Calibri"/>
          <w:vertAlign w:val="superscript"/>
          <w:lang w:val="fr-FR"/>
        </w:rPr>
        <w:t>8</w:t>
      </w:r>
      <w:r w:rsidRPr="00BC405A">
        <w:rPr>
          <w:rFonts w:ascii="Calibri" w:hAnsi="Calibri" w:cs="Calibri"/>
          <w:lang w:val="fr-FR"/>
        </w:rPr>
        <w:t xml:space="preserve">, </w:t>
      </w:r>
      <w:proofErr w:type="spellStart"/>
      <w:r w:rsidRPr="00BC405A">
        <w:rPr>
          <w:rFonts w:ascii="Calibri" w:hAnsi="Calibri" w:cs="Calibri"/>
          <w:lang w:val="fr-FR"/>
        </w:rPr>
        <w:t>Shteinberg</w:t>
      </w:r>
      <w:proofErr w:type="spellEnd"/>
      <w:r w:rsidRPr="00BC405A">
        <w:rPr>
          <w:rFonts w:ascii="Calibri" w:hAnsi="Calibri" w:cs="Calibri"/>
          <w:lang w:val="fr-FR"/>
        </w:rPr>
        <w:t xml:space="preserve"> M</w:t>
      </w:r>
      <w:r w:rsidRPr="00BC405A">
        <w:rPr>
          <w:rFonts w:ascii="Calibri" w:hAnsi="Calibri" w:cs="Calibri"/>
          <w:vertAlign w:val="superscript"/>
          <w:lang w:val="fr-FR"/>
        </w:rPr>
        <w:t>2,9</w:t>
      </w:r>
    </w:p>
    <w:p w14:paraId="1789963E" w14:textId="77777777" w:rsidR="00FD3671" w:rsidRPr="00FD3671" w:rsidRDefault="00FD3671" w:rsidP="00FD3671">
      <w:pPr>
        <w:jc w:val="both"/>
        <w:rPr>
          <w:rFonts w:cstheme="minorHAnsi"/>
          <w:lang w:val="fr-FR"/>
        </w:rPr>
      </w:pPr>
    </w:p>
    <w:p w14:paraId="14559939" w14:textId="77777777" w:rsidR="00FD3671" w:rsidRPr="00FD3671" w:rsidRDefault="00FD3671" w:rsidP="00FD3671">
      <w:pPr>
        <w:pStyle w:val="Paragraphedeliste"/>
        <w:bidi w:val="0"/>
        <w:spacing w:after="0" w:line="240" w:lineRule="auto"/>
        <w:ind w:left="0"/>
        <w:jc w:val="both"/>
        <w:rPr>
          <w:rFonts w:cstheme="minorHAnsi"/>
          <w:b/>
          <w:sz w:val="24"/>
          <w:szCs w:val="24"/>
        </w:rPr>
      </w:pPr>
      <w:proofErr w:type="gramStart"/>
      <w:r w:rsidRPr="00FD3671">
        <w:rPr>
          <w:rStyle w:val="Aucun"/>
          <w:rFonts w:ascii="Calibri" w:eastAsia="Calibri" w:hAnsi="Calibri" w:cs="Calibri"/>
          <w:b/>
          <w:u w:color="000000"/>
          <w:bdr w:val="nil"/>
          <w:lang w:val="fr-FR" w:eastAsia="fr-FR" w:bidi="ar-SA"/>
        </w:rPr>
        <w:t>Affiliations:</w:t>
      </w:r>
      <w:proofErr w:type="gramEnd"/>
      <w:r w:rsidRPr="00FD3671">
        <w:rPr>
          <w:rFonts w:cstheme="minorHAnsi"/>
          <w:b/>
          <w:sz w:val="28"/>
          <w:szCs w:val="28"/>
        </w:rPr>
        <w:t xml:space="preserve"> </w:t>
      </w:r>
    </w:p>
    <w:p w14:paraId="32E3EB3C" w14:textId="77777777" w:rsidR="00FD3671" w:rsidRPr="00DD3476" w:rsidRDefault="00FD3671" w:rsidP="00FD3671">
      <w:pPr>
        <w:pStyle w:val="Paragraphedeliste"/>
        <w:numPr>
          <w:ilvl w:val="0"/>
          <w:numId w:val="2"/>
        </w:numPr>
        <w:bidi w:val="0"/>
        <w:spacing w:after="0" w:line="240" w:lineRule="auto"/>
        <w:ind w:left="0"/>
        <w:jc w:val="both"/>
        <w:rPr>
          <w:rFonts w:ascii="Calibri" w:hAnsi="Calibri" w:cs="Calibri"/>
        </w:rPr>
      </w:pPr>
      <w:r w:rsidRPr="00DD3476">
        <w:rPr>
          <w:rFonts w:ascii="Calibri" w:hAnsi="Calibri" w:cs="Calibri"/>
        </w:rPr>
        <w:t>Pediatric Pulmonology Unit and CF Center, Carmel Medical Center, Haifa, Israel</w:t>
      </w:r>
    </w:p>
    <w:p w14:paraId="6CC43A3B" w14:textId="77777777" w:rsidR="00FD3671" w:rsidRPr="00DD3476" w:rsidRDefault="00FD3671" w:rsidP="00FD3671">
      <w:pPr>
        <w:pStyle w:val="Paragraphedeliste"/>
        <w:numPr>
          <w:ilvl w:val="0"/>
          <w:numId w:val="2"/>
        </w:numPr>
        <w:bidi w:val="0"/>
        <w:spacing w:after="0" w:line="240" w:lineRule="auto"/>
        <w:ind w:left="0"/>
        <w:jc w:val="both"/>
        <w:rPr>
          <w:rFonts w:ascii="Calibri" w:hAnsi="Calibri" w:cs="Calibri"/>
        </w:rPr>
      </w:pPr>
      <w:r w:rsidRPr="00DD3476">
        <w:rPr>
          <w:rFonts w:ascii="Calibri" w:hAnsi="Calibri" w:cs="Calibri"/>
        </w:rPr>
        <w:t>Technion- Israel institute of technology and the B. Rappaport Faculty of Medicine, Haifa, Israel</w:t>
      </w:r>
    </w:p>
    <w:p w14:paraId="3EFAD6AE" w14:textId="77777777" w:rsidR="00FD3671" w:rsidRPr="00DD3476" w:rsidRDefault="00FD3671" w:rsidP="00FD3671">
      <w:pPr>
        <w:pStyle w:val="Paragraphedeliste"/>
        <w:numPr>
          <w:ilvl w:val="0"/>
          <w:numId w:val="2"/>
        </w:numPr>
        <w:bidi w:val="0"/>
        <w:spacing w:after="0" w:line="240" w:lineRule="auto"/>
        <w:ind w:left="0"/>
        <w:jc w:val="both"/>
        <w:rPr>
          <w:rFonts w:ascii="Calibri" w:hAnsi="Calibri" w:cs="Calibri"/>
        </w:rPr>
      </w:pPr>
      <w:r w:rsidRPr="00DD3476">
        <w:rPr>
          <w:rFonts w:ascii="Calibri" w:hAnsi="Calibri" w:cs="Calibri"/>
        </w:rPr>
        <w:t>Pediatric Pulmonology Unit and CF Center, Sheba Medical Center-, Tel Aviv, Israel</w:t>
      </w:r>
    </w:p>
    <w:p w14:paraId="380AA4C2" w14:textId="77777777" w:rsidR="00FD3671" w:rsidRPr="00DD3476" w:rsidRDefault="00FD3671" w:rsidP="00FD3671">
      <w:pPr>
        <w:pStyle w:val="Paragraphedeliste"/>
        <w:numPr>
          <w:ilvl w:val="0"/>
          <w:numId w:val="2"/>
        </w:numPr>
        <w:bidi w:val="0"/>
        <w:spacing w:after="0" w:line="240" w:lineRule="auto"/>
        <w:ind w:left="0"/>
        <w:jc w:val="both"/>
        <w:rPr>
          <w:rFonts w:ascii="Calibri" w:hAnsi="Calibri" w:cs="Calibri"/>
        </w:rPr>
      </w:pPr>
      <w:r w:rsidRPr="00DD3476">
        <w:rPr>
          <w:rFonts w:ascii="Calibri" w:hAnsi="Calibri" w:cs="Calibri"/>
        </w:rPr>
        <w:t xml:space="preserve">Pulmonology Institute and CF center, Rabin Medical Center, Petach </w:t>
      </w:r>
      <w:proofErr w:type="spellStart"/>
      <w:r w:rsidRPr="00DD3476">
        <w:rPr>
          <w:rFonts w:ascii="Calibri" w:hAnsi="Calibri" w:cs="Calibri"/>
        </w:rPr>
        <w:t>Tiqva</w:t>
      </w:r>
      <w:proofErr w:type="spellEnd"/>
      <w:r w:rsidRPr="00DD3476">
        <w:rPr>
          <w:rFonts w:ascii="Calibri" w:hAnsi="Calibri" w:cs="Calibri"/>
        </w:rPr>
        <w:t>, Israel</w:t>
      </w:r>
    </w:p>
    <w:p w14:paraId="0B5F6E43" w14:textId="77777777" w:rsidR="00FD3671" w:rsidRPr="00DD3476" w:rsidRDefault="00FD3671" w:rsidP="00FD3671">
      <w:pPr>
        <w:pStyle w:val="Paragraphedeliste"/>
        <w:numPr>
          <w:ilvl w:val="0"/>
          <w:numId w:val="2"/>
        </w:numPr>
        <w:bidi w:val="0"/>
        <w:spacing w:after="0" w:line="240" w:lineRule="auto"/>
        <w:ind w:left="0"/>
        <w:jc w:val="both"/>
        <w:rPr>
          <w:rFonts w:ascii="Calibri" w:hAnsi="Calibri" w:cs="Calibri"/>
        </w:rPr>
      </w:pPr>
      <w:r w:rsidRPr="00DD3476">
        <w:rPr>
          <w:rFonts w:ascii="Calibri" w:hAnsi="Calibri" w:cs="Calibri"/>
        </w:rPr>
        <w:t xml:space="preserve">Pediatric Pulmonology Institute and CF center, Schneider Children’s Medical Center, Petach </w:t>
      </w:r>
      <w:proofErr w:type="spellStart"/>
      <w:r w:rsidRPr="00DD3476">
        <w:rPr>
          <w:rFonts w:ascii="Calibri" w:hAnsi="Calibri" w:cs="Calibri"/>
        </w:rPr>
        <w:t>Tiqva</w:t>
      </w:r>
      <w:proofErr w:type="spellEnd"/>
      <w:r w:rsidRPr="00DD3476">
        <w:rPr>
          <w:rFonts w:ascii="Calibri" w:hAnsi="Calibri" w:cs="Calibri"/>
        </w:rPr>
        <w:t>, Israel</w:t>
      </w:r>
    </w:p>
    <w:p w14:paraId="6715B443" w14:textId="77777777" w:rsidR="00FD3671" w:rsidRPr="00DD3476" w:rsidRDefault="00FD3671" w:rsidP="00FD3671">
      <w:pPr>
        <w:pStyle w:val="Paragraphedeliste"/>
        <w:numPr>
          <w:ilvl w:val="0"/>
          <w:numId w:val="2"/>
        </w:numPr>
        <w:bidi w:val="0"/>
        <w:spacing w:after="0" w:line="240" w:lineRule="auto"/>
        <w:ind w:left="0"/>
        <w:jc w:val="both"/>
        <w:rPr>
          <w:rFonts w:ascii="Calibri" w:hAnsi="Calibri" w:cs="Calibri"/>
        </w:rPr>
      </w:pPr>
      <w:r w:rsidRPr="00DD3476">
        <w:rPr>
          <w:rFonts w:ascii="Calibri" w:hAnsi="Calibri" w:cs="Calibri"/>
        </w:rPr>
        <w:t>Dept of Community Medicine and Epidemiology, Carmel Medical Center, Haifa, Israel</w:t>
      </w:r>
    </w:p>
    <w:p w14:paraId="46B169D2" w14:textId="77777777" w:rsidR="00FD3671" w:rsidRPr="00DD3476" w:rsidRDefault="00FD3671" w:rsidP="00FD3671">
      <w:pPr>
        <w:pStyle w:val="Paragraphedeliste"/>
        <w:numPr>
          <w:ilvl w:val="0"/>
          <w:numId w:val="2"/>
        </w:numPr>
        <w:bidi w:val="0"/>
        <w:spacing w:after="0" w:line="240" w:lineRule="auto"/>
        <w:ind w:left="0"/>
        <w:jc w:val="both"/>
        <w:rPr>
          <w:rFonts w:ascii="Calibri" w:hAnsi="Calibri" w:cs="Calibri"/>
        </w:rPr>
      </w:pPr>
      <w:r w:rsidRPr="00DD3476">
        <w:rPr>
          <w:rFonts w:ascii="Calibri" w:hAnsi="Calibri" w:cs="Calibri"/>
        </w:rPr>
        <w:t>Pediatric Pulmonology Institute and CF Center, Rambam Medical Center, Haifa, Israel</w:t>
      </w:r>
    </w:p>
    <w:p w14:paraId="1F358451" w14:textId="77777777" w:rsidR="00FD3671" w:rsidRPr="00DD3476" w:rsidRDefault="00FD3671" w:rsidP="00FD3671">
      <w:pPr>
        <w:pStyle w:val="Paragraphedeliste"/>
        <w:numPr>
          <w:ilvl w:val="0"/>
          <w:numId w:val="2"/>
        </w:numPr>
        <w:bidi w:val="0"/>
        <w:spacing w:after="0" w:line="240" w:lineRule="auto"/>
        <w:ind w:left="0"/>
        <w:jc w:val="both"/>
        <w:rPr>
          <w:rFonts w:ascii="Calibri" w:hAnsi="Calibri" w:cs="Calibri"/>
        </w:rPr>
      </w:pPr>
      <w:r w:rsidRPr="00DD3476">
        <w:rPr>
          <w:rFonts w:ascii="Calibri" w:hAnsi="Calibri" w:cs="Calibri"/>
        </w:rPr>
        <w:t>Pediatric Pulmonology Unit and CF Center, Hadassah Medical Center and Faculty of Medicine, The Hebrew University, Jerusalem, Israel</w:t>
      </w:r>
    </w:p>
    <w:p w14:paraId="6321E7E6" w14:textId="77777777" w:rsidR="00FD3671" w:rsidRPr="00DD3476" w:rsidRDefault="00FD3671" w:rsidP="00FD3671">
      <w:pPr>
        <w:pStyle w:val="Paragraphedeliste"/>
        <w:numPr>
          <w:ilvl w:val="0"/>
          <w:numId w:val="2"/>
        </w:numPr>
        <w:bidi w:val="0"/>
        <w:spacing w:after="0" w:line="240" w:lineRule="auto"/>
        <w:ind w:left="0"/>
        <w:jc w:val="both"/>
        <w:rPr>
          <w:rFonts w:ascii="Calibri" w:hAnsi="Calibri" w:cs="Calibri"/>
        </w:rPr>
      </w:pPr>
      <w:r w:rsidRPr="00DD3476">
        <w:rPr>
          <w:rFonts w:ascii="Calibri" w:hAnsi="Calibri" w:cs="Calibri"/>
        </w:rPr>
        <w:t>Pulmonology Institute and CF Center, Carmel Medical Center, Haifa, Israel</w:t>
      </w:r>
    </w:p>
    <w:p w14:paraId="26CA3F8B" w14:textId="77777777" w:rsidR="00FD3671" w:rsidRPr="00DD3476" w:rsidRDefault="00FD3671" w:rsidP="00FD3671">
      <w:pPr>
        <w:pStyle w:val="Paragraphedeliste"/>
        <w:numPr>
          <w:ilvl w:val="0"/>
          <w:numId w:val="2"/>
        </w:numPr>
        <w:bidi w:val="0"/>
        <w:spacing w:after="0" w:line="240" w:lineRule="auto"/>
        <w:ind w:left="0"/>
        <w:jc w:val="both"/>
        <w:rPr>
          <w:rFonts w:ascii="Calibri" w:hAnsi="Calibri" w:cs="Calibri"/>
        </w:rPr>
      </w:pPr>
      <w:r w:rsidRPr="00DD3476">
        <w:rPr>
          <w:rFonts w:ascii="Calibri" w:hAnsi="Calibri" w:cs="Calibri"/>
        </w:rPr>
        <w:t xml:space="preserve">Sackler Faculty of Medicine, Tel Aviv University, Tel Aviv. </w:t>
      </w:r>
    </w:p>
    <w:p w14:paraId="35C4FDF9" w14:textId="77777777" w:rsidR="009C4C86" w:rsidRPr="00FD3671" w:rsidRDefault="009C4C86" w:rsidP="00802427">
      <w:pPr>
        <w:pStyle w:val="Corps"/>
        <w:spacing w:line="276" w:lineRule="auto"/>
        <w:jc w:val="both"/>
        <w:rPr>
          <w:rStyle w:val="Aucun"/>
          <w:rFonts w:ascii="Calibri" w:eastAsia="Calibri" w:hAnsi="Calibri" w:cs="Calibri"/>
          <w:bCs/>
          <w:color w:val="auto"/>
          <w:lang w:val="en-US"/>
        </w:rPr>
      </w:pPr>
    </w:p>
    <w:p w14:paraId="654E1915" w14:textId="500A49FB" w:rsidR="0084000A" w:rsidRPr="00684E33" w:rsidRDefault="00B41EC3" w:rsidP="00802427">
      <w:pPr>
        <w:pStyle w:val="Corps"/>
        <w:spacing w:line="276" w:lineRule="auto"/>
        <w:jc w:val="both"/>
        <w:rPr>
          <w:rStyle w:val="Aucun"/>
          <w:rFonts w:ascii="Calibri" w:hAnsi="Calibri" w:cs="Calibri"/>
          <w:color w:val="auto"/>
          <w:lang w:val="ru-RU"/>
        </w:rPr>
      </w:pPr>
      <w:r w:rsidRPr="00684E33">
        <w:rPr>
          <w:rStyle w:val="Aucun"/>
          <w:rFonts w:ascii="Calibri" w:eastAsia="Calibri" w:hAnsi="Calibri" w:cs="Calibri"/>
          <w:b/>
          <w:bCs/>
          <w:color w:val="auto"/>
        </w:rPr>
        <w:t xml:space="preserve">Quelle est la problématique de votre recherche </w:t>
      </w:r>
      <w:r w:rsidRPr="00684E33">
        <w:rPr>
          <w:rStyle w:val="Aucun"/>
          <w:rFonts w:ascii="Calibri" w:eastAsia="Calibri" w:hAnsi="Calibri" w:cs="Calibri"/>
          <w:b/>
          <w:bCs/>
          <w:color w:val="auto"/>
          <w:lang w:val="ru-RU"/>
        </w:rPr>
        <w:t>?</w:t>
      </w:r>
    </w:p>
    <w:p w14:paraId="3027E23F" w14:textId="5B99E446" w:rsidR="00DD3476" w:rsidRPr="00802427" w:rsidRDefault="00FD3671" w:rsidP="00A15672">
      <w:pPr>
        <w:pStyle w:val="Corps"/>
        <w:spacing w:line="276" w:lineRule="auto"/>
        <w:jc w:val="both"/>
        <w:rPr>
          <w:rFonts w:ascii="Calibri" w:eastAsia="Calibri" w:hAnsi="Calibri" w:cs="Calibri"/>
          <w:bCs/>
        </w:rPr>
      </w:pPr>
      <w:r>
        <w:rPr>
          <w:rFonts w:ascii="Calibri" w:eastAsia="Calibri" w:hAnsi="Calibri" w:cs="Calibri"/>
          <w:bCs/>
        </w:rPr>
        <w:t xml:space="preserve">La mucoviscidose </w:t>
      </w:r>
      <w:r w:rsidR="00DD3476">
        <w:rPr>
          <w:rFonts w:ascii="Calibri" w:eastAsia="Calibri" w:hAnsi="Calibri" w:cs="Calibri"/>
          <w:bCs/>
        </w:rPr>
        <w:t>peut être</w:t>
      </w:r>
      <w:r>
        <w:rPr>
          <w:rFonts w:ascii="Calibri" w:eastAsia="Calibri" w:hAnsi="Calibri" w:cs="Calibri"/>
          <w:bCs/>
        </w:rPr>
        <w:t xml:space="preserve"> causée par plusieurs centaines de mutations dans le gène CFTR qui conduisent à une fon</w:t>
      </w:r>
      <w:r w:rsidR="00DD3476">
        <w:rPr>
          <w:rFonts w:ascii="Calibri" w:eastAsia="Calibri" w:hAnsi="Calibri" w:cs="Calibri"/>
          <w:bCs/>
        </w:rPr>
        <w:t>c</w:t>
      </w:r>
      <w:r>
        <w:rPr>
          <w:rFonts w:ascii="Calibri" w:eastAsia="Calibri" w:hAnsi="Calibri" w:cs="Calibri"/>
          <w:bCs/>
        </w:rPr>
        <w:t>tion anormale</w:t>
      </w:r>
      <w:r w:rsidR="00DD3476">
        <w:rPr>
          <w:rFonts w:ascii="Calibri" w:eastAsia="Calibri" w:hAnsi="Calibri" w:cs="Calibri"/>
          <w:bCs/>
        </w:rPr>
        <w:t xml:space="preserve"> du canal</w:t>
      </w:r>
      <w:r w:rsidR="00430B20">
        <w:rPr>
          <w:rFonts w:ascii="Calibri" w:eastAsia="Calibri" w:hAnsi="Calibri" w:cs="Calibri"/>
          <w:bCs/>
        </w:rPr>
        <w:t xml:space="preserve"> CFTR</w:t>
      </w:r>
      <w:r>
        <w:rPr>
          <w:rFonts w:ascii="Calibri" w:eastAsia="Calibri" w:hAnsi="Calibri" w:cs="Calibri"/>
          <w:bCs/>
        </w:rPr>
        <w:t xml:space="preserve">. </w:t>
      </w:r>
      <w:proofErr w:type="spellStart"/>
      <w:r w:rsidR="00DD3476">
        <w:rPr>
          <w:rFonts w:ascii="Calibri" w:eastAsia="Calibri" w:hAnsi="Calibri" w:cs="Calibri"/>
          <w:bCs/>
        </w:rPr>
        <w:t>Trikafta</w:t>
      </w:r>
      <w:proofErr w:type="spellEnd"/>
      <w:r w:rsidR="00DD3476">
        <w:rPr>
          <w:rFonts w:ascii="Calibri" w:eastAsia="Calibri" w:hAnsi="Calibri" w:cs="Calibri"/>
          <w:bCs/>
        </w:rPr>
        <w:t xml:space="preserve"> (ou </w:t>
      </w:r>
      <w:proofErr w:type="spellStart"/>
      <w:r w:rsidR="00DD3476">
        <w:rPr>
          <w:rFonts w:ascii="Calibri" w:eastAsia="Calibri" w:hAnsi="Calibri" w:cs="Calibri"/>
          <w:bCs/>
        </w:rPr>
        <w:t>Kaftrio</w:t>
      </w:r>
      <w:proofErr w:type="spellEnd"/>
      <w:r w:rsidR="00DD3476">
        <w:rPr>
          <w:rFonts w:ascii="Calibri" w:eastAsia="Calibri" w:hAnsi="Calibri" w:cs="Calibri"/>
          <w:bCs/>
        </w:rPr>
        <w:t xml:space="preserve">) a été testé sur des personnes portant la mutation la plus commune de la mucoviscidose appelée F508del. Notre étude apporte des résultats du traitement par </w:t>
      </w:r>
      <w:proofErr w:type="spellStart"/>
      <w:r w:rsidR="00DD3476">
        <w:rPr>
          <w:rFonts w:ascii="Calibri" w:eastAsia="Calibri" w:hAnsi="Calibri" w:cs="Calibri"/>
          <w:bCs/>
        </w:rPr>
        <w:t>Trikafta</w:t>
      </w:r>
      <w:proofErr w:type="spellEnd"/>
      <w:r w:rsidR="00DD3476">
        <w:rPr>
          <w:rFonts w:ascii="Calibri" w:eastAsia="Calibri" w:hAnsi="Calibri" w:cs="Calibri"/>
          <w:bCs/>
        </w:rPr>
        <w:t xml:space="preserve"> sur des personnes ayant la mucoviscidose mais portant d’autres mutation</w:t>
      </w:r>
      <w:r w:rsidR="00C944DC">
        <w:rPr>
          <w:rFonts w:ascii="Calibri" w:eastAsia="Calibri" w:hAnsi="Calibri" w:cs="Calibri"/>
          <w:bCs/>
        </w:rPr>
        <w:t>s</w:t>
      </w:r>
      <w:r w:rsidR="00DD3476">
        <w:rPr>
          <w:rFonts w:ascii="Calibri" w:eastAsia="Calibri" w:hAnsi="Calibri" w:cs="Calibri"/>
          <w:bCs/>
        </w:rPr>
        <w:t xml:space="preserve"> que F508del.</w:t>
      </w:r>
    </w:p>
    <w:p w14:paraId="44184F45" w14:textId="77777777" w:rsidR="00521A5C" w:rsidRPr="00802427" w:rsidRDefault="00521A5C" w:rsidP="00802427">
      <w:pPr>
        <w:pStyle w:val="Corps"/>
        <w:spacing w:line="276" w:lineRule="auto"/>
        <w:jc w:val="both"/>
        <w:rPr>
          <w:rStyle w:val="Aucun"/>
          <w:rFonts w:ascii="Calibri" w:eastAsia="Calibri" w:hAnsi="Calibri" w:cs="Calibri"/>
          <w:bCs/>
          <w:color w:val="auto"/>
        </w:rPr>
      </w:pPr>
    </w:p>
    <w:p w14:paraId="76832D01" w14:textId="6A61C4AE" w:rsidR="00802427" w:rsidRDefault="00B41EC3" w:rsidP="00802427">
      <w:pPr>
        <w:pStyle w:val="Corps"/>
        <w:spacing w:line="276" w:lineRule="auto"/>
        <w:jc w:val="both"/>
        <w:rPr>
          <w:rStyle w:val="Aucun"/>
          <w:rFonts w:ascii="Calibri" w:eastAsia="Calibri" w:hAnsi="Calibri" w:cs="Calibri"/>
          <w:b/>
          <w:bCs/>
          <w:color w:val="auto"/>
        </w:rPr>
      </w:pPr>
      <w:r w:rsidRPr="00684E33">
        <w:rPr>
          <w:rStyle w:val="Aucun"/>
          <w:rFonts w:ascii="Calibri" w:eastAsia="Calibri" w:hAnsi="Calibri" w:cs="Calibri"/>
          <w:b/>
          <w:bCs/>
          <w:color w:val="auto"/>
        </w:rPr>
        <w:t xml:space="preserve">Pourquoi est-ce important ? </w:t>
      </w:r>
    </w:p>
    <w:p w14:paraId="43C331E9" w14:textId="470C5277" w:rsidR="00DD3476" w:rsidRPr="00DD3476" w:rsidRDefault="00DD3476" w:rsidP="00802427">
      <w:pPr>
        <w:pStyle w:val="Corps"/>
        <w:spacing w:line="276" w:lineRule="auto"/>
        <w:jc w:val="both"/>
        <w:rPr>
          <w:rFonts w:ascii="Calibri" w:eastAsia="Calibri" w:hAnsi="Calibri" w:cs="Calibri"/>
          <w:color w:val="auto"/>
        </w:rPr>
      </w:pPr>
      <w:r>
        <w:rPr>
          <w:rFonts w:ascii="Calibri" w:eastAsia="Calibri" w:hAnsi="Calibri" w:cs="Calibri"/>
          <w:color w:val="auto"/>
        </w:rPr>
        <w:t xml:space="preserve">Selon des études de laboratoire, </w:t>
      </w:r>
      <w:r w:rsidR="009B3CC6">
        <w:rPr>
          <w:rFonts w:ascii="Calibri" w:eastAsia="Calibri" w:hAnsi="Calibri" w:cs="Calibri"/>
          <w:color w:val="auto"/>
        </w:rPr>
        <w:t>plusieurs</w:t>
      </w:r>
      <w:r>
        <w:rPr>
          <w:rFonts w:ascii="Calibri" w:eastAsia="Calibri" w:hAnsi="Calibri" w:cs="Calibri"/>
          <w:color w:val="auto"/>
        </w:rPr>
        <w:t xml:space="preserve"> </w:t>
      </w:r>
      <w:r w:rsidR="009B3CC6">
        <w:rPr>
          <w:rFonts w:ascii="Calibri" w:eastAsia="Calibri" w:hAnsi="Calibri" w:cs="Calibri"/>
          <w:color w:val="auto"/>
        </w:rPr>
        <w:t xml:space="preserve">des </w:t>
      </w:r>
      <w:r>
        <w:rPr>
          <w:rFonts w:ascii="Calibri" w:eastAsia="Calibri" w:hAnsi="Calibri" w:cs="Calibri"/>
          <w:color w:val="auto"/>
        </w:rPr>
        <w:t>mutations causant la mucoviscidose p</w:t>
      </w:r>
      <w:r w:rsidR="009B3CC6">
        <w:rPr>
          <w:rFonts w:ascii="Calibri" w:eastAsia="Calibri" w:hAnsi="Calibri" w:cs="Calibri"/>
          <w:color w:val="auto"/>
        </w:rPr>
        <w:t>ourrai</w:t>
      </w:r>
      <w:r>
        <w:rPr>
          <w:rFonts w:ascii="Calibri" w:eastAsia="Calibri" w:hAnsi="Calibri" w:cs="Calibri"/>
          <w:color w:val="auto"/>
        </w:rPr>
        <w:t xml:space="preserve">ent être corrigées par </w:t>
      </w:r>
      <w:proofErr w:type="spellStart"/>
      <w:r>
        <w:rPr>
          <w:rFonts w:ascii="Calibri" w:eastAsia="Calibri" w:hAnsi="Calibri" w:cs="Calibri"/>
          <w:color w:val="auto"/>
        </w:rPr>
        <w:t>Trikafta</w:t>
      </w:r>
      <w:proofErr w:type="spellEnd"/>
      <w:r>
        <w:rPr>
          <w:rFonts w:ascii="Calibri" w:eastAsia="Calibri" w:hAnsi="Calibri" w:cs="Calibri"/>
          <w:color w:val="auto"/>
        </w:rPr>
        <w:t>. Du fait que ces mutations soient très rares, les essais cliniques (qui testent les effets des traitements sur un groupe de personnes) ont été réalisés uniquement sur des patients portant la mutation la plus commune, F5</w:t>
      </w:r>
      <w:r w:rsidR="009B3CC6">
        <w:rPr>
          <w:rFonts w:ascii="Calibri" w:eastAsia="Calibri" w:hAnsi="Calibri" w:cs="Calibri"/>
          <w:color w:val="auto"/>
        </w:rPr>
        <w:t>0</w:t>
      </w:r>
      <w:r>
        <w:rPr>
          <w:rFonts w:ascii="Calibri" w:eastAsia="Calibri" w:hAnsi="Calibri" w:cs="Calibri"/>
          <w:color w:val="auto"/>
        </w:rPr>
        <w:t xml:space="preserve">8del. Les essais cliniques n’ont pas été réalisés sur des </w:t>
      </w:r>
      <w:r>
        <w:rPr>
          <w:rFonts w:ascii="Calibri" w:eastAsia="Calibri" w:hAnsi="Calibri" w:cs="Calibri"/>
          <w:color w:val="auto"/>
        </w:rPr>
        <w:lastRenderedPageBreak/>
        <w:t>personnes portant d’autres mutations que F508del, et donc les effets</w:t>
      </w:r>
      <w:r w:rsidR="00A20AC3" w:rsidRPr="00A20AC3">
        <w:rPr>
          <w:rFonts w:ascii="Calibri" w:eastAsia="Calibri" w:hAnsi="Calibri" w:cs="Calibri"/>
          <w:color w:val="auto"/>
        </w:rPr>
        <w:t xml:space="preserve"> </w:t>
      </w:r>
      <w:r w:rsidR="00A20AC3">
        <w:rPr>
          <w:rFonts w:ascii="Calibri" w:eastAsia="Calibri" w:hAnsi="Calibri" w:cs="Calibri"/>
          <w:color w:val="auto"/>
        </w:rPr>
        <w:t>réels</w:t>
      </w:r>
      <w:r>
        <w:rPr>
          <w:rFonts w:ascii="Calibri" w:eastAsia="Calibri" w:hAnsi="Calibri" w:cs="Calibri"/>
          <w:color w:val="auto"/>
        </w:rPr>
        <w:t xml:space="preserve"> de ce traitement</w:t>
      </w:r>
      <w:r w:rsidR="00886081">
        <w:rPr>
          <w:rFonts w:ascii="Calibri" w:eastAsia="Calibri" w:hAnsi="Calibri" w:cs="Calibri"/>
          <w:color w:val="auto"/>
        </w:rPr>
        <w:t xml:space="preserve"> sur les personnes ayant la mucoviscidose ne sont pas connus. Certains pays acceptent d’autoriser et de payer pour ce traitement uniquement s’il a été prouvé qu’il était bénéfique pour les patients (par exemple </w:t>
      </w:r>
      <w:r w:rsidR="009B3CC6">
        <w:rPr>
          <w:rFonts w:ascii="Calibri" w:eastAsia="Calibri" w:hAnsi="Calibri" w:cs="Calibri"/>
          <w:color w:val="auto"/>
        </w:rPr>
        <w:t xml:space="preserve">par </w:t>
      </w:r>
      <w:r w:rsidR="00886081">
        <w:rPr>
          <w:rFonts w:ascii="Calibri" w:eastAsia="Calibri" w:hAnsi="Calibri" w:cs="Calibri"/>
          <w:color w:val="auto"/>
        </w:rPr>
        <w:t xml:space="preserve">les essais cliniques). </w:t>
      </w:r>
    </w:p>
    <w:p w14:paraId="137F39CB" w14:textId="77777777" w:rsidR="00521A5C" w:rsidRPr="00802427" w:rsidRDefault="00521A5C" w:rsidP="00802427">
      <w:pPr>
        <w:pStyle w:val="Corps"/>
        <w:spacing w:line="276" w:lineRule="auto"/>
        <w:jc w:val="both"/>
        <w:rPr>
          <w:rStyle w:val="Aucun"/>
          <w:rFonts w:ascii="Calibri" w:hAnsi="Calibri" w:cs="Calibri"/>
          <w:color w:val="auto"/>
        </w:rPr>
      </w:pPr>
    </w:p>
    <w:p w14:paraId="22D44EBB" w14:textId="77777777" w:rsidR="0084000A" w:rsidRPr="00684E33" w:rsidRDefault="00B41EC3" w:rsidP="00802427">
      <w:pPr>
        <w:pStyle w:val="Corps"/>
        <w:spacing w:line="276" w:lineRule="auto"/>
        <w:jc w:val="both"/>
        <w:rPr>
          <w:rStyle w:val="Aucun"/>
          <w:rFonts w:ascii="Calibri" w:hAnsi="Calibri" w:cs="Calibri"/>
          <w:color w:val="auto"/>
        </w:rPr>
      </w:pPr>
      <w:bookmarkStart w:id="0" w:name="page2"/>
      <w:bookmarkEnd w:id="0"/>
      <w:r w:rsidRPr="00684E33">
        <w:rPr>
          <w:rStyle w:val="Aucun"/>
          <w:rFonts w:ascii="Calibri" w:eastAsia="Calibri" w:hAnsi="Calibri" w:cs="Calibri"/>
          <w:b/>
          <w:bCs/>
          <w:color w:val="auto"/>
        </w:rPr>
        <w:t xml:space="preserve">Quels sont les travaux réalisés ? </w:t>
      </w:r>
    </w:p>
    <w:p w14:paraId="66E29907" w14:textId="165922C6" w:rsidR="00802427" w:rsidRPr="00802427" w:rsidRDefault="00886081" w:rsidP="00802427">
      <w:pPr>
        <w:pStyle w:val="Corps"/>
        <w:spacing w:line="276" w:lineRule="auto"/>
        <w:jc w:val="both"/>
        <w:rPr>
          <w:rFonts w:ascii="Calibri" w:eastAsia="Calibri" w:hAnsi="Calibri" w:cs="Calibri"/>
          <w:bCs/>
        </w:rPr>
      </w:pPr>
      <w:r>
        <w:rPr>
          <w:rFonts w:ascii="Calibri" w:eastAsia="Calibri" w:hAnsi="Calibri" w:cs="Calibri"/>
          <w:bCs/>
        </w:rPr>
        <w:t xml:space="preserve">En Israël, </w:t>
      </w:r>
      <w:proofErr w:type="spellStart"/>
      <w:r>
        <w:rPr>
          <w:rFonts w:ascii="Calibri" w:eastAsia="Calibri" w:hAnsi="Calibri" w:cs="Calibri"/>
          <w:bCs/>
        </w:rPr>
        <w:t>Trikafta</w:t>
      </w:r>
      <w:proofErr w:type="spellEnd"/>
      <w:r>
        <w:rPr>
          <w:rFonts w:ascii="Calibri" w:eastAsia="Calibri" w:hAnsi="Calibri" w:cs="Calibri"/>
          <w:bCs/>
        </w:rPr>
        <w:t xml:space="preserve"> est fourni aux patients s’ils portent des mutations pour lesquelles il a été montré par des études en laboratoire que le traitement apportait une amélioration, et cela même si aucun essai clinique n’a été réalisé pour ces mutations. Nous avons invité tous les centres de la mucoviscidose (équivalent CRCM) d’Israël </w:t>
      </w:r>
      <w:r w:rsidR="00C944DC">
        <w:rPr>
          <w:rFonts w:ascii="Calibri" w:eastAsia="Calibri" w:hAnsi="Calibri" w:cs="Calibri"/>
          <w:bCs/>
        </w:rPr>
        <w:t>à</w:t>
      </w:r>
      <w:r>
        <w:rPr>
          <w:rFonts w:ascii="Calibri" w:eastAsia="Calibri" w:hAnsi="Calibri" w:cs="Calibri"/>
          <w:bCs/>
        </w:rPr>
        <w:t xml:space="preserve"> rapport</w:t>
      </w:r>
      <w:r w:rsidR="00C944DC">
        <w:rPr>
          <w:rFonts w:ascii="Calibri" w:eastAsia="Calibri" w:hAnsi="Calibri" w:cs="Calibri"/>
          <w:bCs/>
        </w:rPr>
        <w:t>er</w:t>
      </w:r>
      <w:r>
        <w:rPr>
          <w:rFonts w:ascii="Calibri" w:eastAsia="Calibri" w:hAnsi="Calibri" w:cs="Calibri"/>
          <w:bCs/>
        </w:rPr>
        <w:t xml:space="preserve"> leurs expériences de traitements de personnes ayant d’autres mutations que F508del. Nous avons demandé d’inclure les patients qui étaient traités avec </w:t>
      </w:r>
      <w:proofErr w:type="spellStart"/>
      <w:r>
        <w:rPr>
          <w:rFonts w:ascii="Calibri" w:eastAsia="Calibri" w:hAnsi="Calibri" w:cs="Calibri"/>
          <w:bCs/>
        </w:rPr>
        <w:t>Trikafta</w:t>
      </w:r>
      <w:proofErr w:type="spellEnd"/>
      <w:r>
        <w:rPr>
          <w:rFonts w:ascii="Calibri" w:eastAsia="Calibri" w:hAnsi="Calibri" w:cs="Calibri"/>
          <w:bCs/>
        </w:rPr>
        <w:t xml:space="preserve"> pendant au moins 3</w:t>
      </w:r>
      <w:r w:rsidR="004E6109">
        <w:rPr>
          <w:rFonts w:ascii="Calibri" w:eastAsia="Calibri" w:hAnsi="Calibri" w:cs="Calibri"/>
          <w:bCs/>
        </w:rPr>
        <w:t xml:space="preserve"> </w:t>
      </w:r>
      <w:r>
        <w:rPr>
          <w:rFonts w:ascii="Calibri" w:eastAsia="Calibri" w:hAnsi="Calibri" w:cs="Calibri"/>
          <w:bCs/>
        </w:rPr>
        <w:t>mois et</w:t>
      </w:r>
      <w:r w:rsidR="004E6109">
        <w:rPr>
          <w:rFonts w:ascii="Calibri" w:eastAsia="Calibri" w:hAnsi="Calibri" w:cs="Calibri"/>
          <w:bCs/>
        </w:rPr>
        <w:t xml:space="preserve"> dont étaient </w:t>
      </w:r>
      <w:r>
        <w:rPr>
          <w:rFonts w:ascii="Calibri" w:eastAsia="Calibri" w:hAnsi="Calibri" w:cs="Calibri"/>
          <w:bCs/>
        </w:rPr>
        <w:t>document</w:t>
      </w:r>
      <w:r w:rsidR="004E6109">
        <w:rPr>
          <w:rFonts w:ascii="Calibri" w:eastAsia="Calibri" w:hAnsi="Calibri" w:cs="Calibri"/>
          <w:bCs/>
        </w:rPr>
        <w:t>és</w:t>
      </w:r>
      <w:r>
        <w:rPr>
          <w:rFonts w:ascii="Calibri" w:eastAsia="Calibri" w:hAnsi="Calibri" w:cs="Calibri"/>
          <w:bCs/>
        </w:rPr>
        <w:t xml:space="preserve"> le test </w:t>
      </w:r>
      <w:r w:rsidR="004E6109">
        <w:rPr>
          <w:rFonts w:ascii="Calibri" w:eastAsia="Calibri" w:hAnsi="Calibri" w:cs="Calibri"/>
          <w:bCs/>
        </w:rPr>
        <w:t>de</w:t>
      </w:r>
      <w:r>
        <w:rPr>
          <w:rFonts w:ascii="Calibri" w:eastAsia="Calibri" w:hAnsi="Calibri" w:cs="Calibri"/>
          <w:bCs/>
        </w:rPr>
        <w:t xml:space="preserve"> la sueur, la fonction pulmonaire, le poids et le besoin en traitements antibiotiques</w:t>
      </w:r>
      <w:r w:rsidR="006B41FA">
        <w:rPr>
          <w:rFonts w:ascii="Calibri" w:eastAsia="Calibri" w:hAnsi="Calibri" w:cs="Calibri"/>
          <w:bCs/>
        </w:rPr>
        <w:t xml:space="preserve"> avant le début du traitement par </w:t>
      </w:r>
      <w:proofErr w:type="spellStart"/>
      <w:r w:rsidR="006B41FA">
        <w:rPr>
          <w:rFonts w:ascii="Calibri" w:eastAsia="Calibri" w:hAnsi="Calibri" w:cs="Calibri"/>
          <w:bCs/>
        </w:rPr>
        <w:t>Trikafta</w:t>
      </w:r>
      <w:proofErr w:type="spellEnd"/>
      <w:r w:rsidR="006B41FA">
        <w:rPr>
          <w:rFonts w:ascii="Calibri" w:eastAsia="Calibri" w:hAnsi="Calibri" w:cs="Calibri"/>
          <w:bCs/>
        </w:rPr>
        <w:t xml:space="preserve"> et après 3-6 mois de traitements.  </w:t>
      </w:r>
      <w:r>
        <w:rPr>
          <w:rFonts w:ascii="Calibri" w:eastAsia="Calibri" w:hAnsi="Calibri" w:cs="Calibri"/>
          <w:bCs/>
        </w:rPr>
        <w:t xml:space="preserve">   </w:t>
      </w:r>
    </w:p>
    <w:p w14:paraId="0CA90ECC" w14:textId="77777777" w:rsidR="00521A5C" w:rsidRPr="00684E33" w:rsidRDefault="00521A5C" w:rsidP="00802427">
      <w:pPr>
        <w:pStyle w:val="Corps"/>
        <w:spacing w:line="276" w:lineRule="auto"/>
        <w:jc w:val="both"/>
        <w:rPr>
          <w:rStyle w:val="Aucun"/>
          <w:rFonts w:ascii="Calibri" w:eastAsia="Calibri" w:hAnsi="Calibri" w:cs="Calibri"/>
          <w:bCs/>
          <w:color w:val="auto"/>
        </w:rPr>
      </w:pPr>
    </w:p>
    <w:p w14:paraId="56EE3933" w14:textId="77777777" w:rsidR="0084000A" w:rsidRPr="00684E33" w:rsidRDefault="00B41EC3" w:rsidP="00802427">
      <w:pPr>
        <w:pStyle w:val="Corps"/>
        <w:spacing w:line="276" w:lineRule="auto"/>
        <w:jc w:val="both"/>
        <w:rPr>
          <w:rStyle w:val="Aucun"/>
          <w:rFonts w:ascii="Calibri" w:hAnsi="Calibri" w:cs="Calibri"/>
          <w:color w:val="auto"/>
        </w:rPr>
      </w:pPr>
      <w:r w:rsidRPr="00684E33">
        <w:rPr>
          <w:rStyle w:val="Aucun"/>
          <w:rFonts w:ascii="Calibri" w:eastAsia="Calibri" w:hAnsi="Calibri" w:cs="Calibri"/>
          <w:b/>
          <w:bCs/>
          <w:color w:val="auto"/>
        </w:rPr>
        <w:t xml:space="preserve">Quels sont les résultats ? </w:t>
      </w:r>
    </w:p>
    <w:p w14:paraId="2F78F3B7" w14:textId="0196235D" w:rsidR="00802427" w:rsidRPr="00802427" w:rsidRDefault="006B41FA" w:rsidP="00802427">
      <w:pPr>
        <w:pStyle w:val="Corps"/>
        <w:spacing w:line="276" w:lineRule="auto"/>
        <w:jc w:val="both"/>
        <w:rPr>
          <w:rFonts w:ascii="Calibri" w:eastAsia="Calibri" w:hAnsi="Calibri" w:cs="Calibri"/>
          <w:bCs/>
        </w:rPr>
      </w:pPr>
      <w:r>
        <w:rPr>
          <w:rFonts w:ascii="Calibri" w:eastAsia="Calibri" w:hAnsi="Calibri" w:cs="Calibri"/>
          <w:bCs/>
        </w:rPr>
        <w:t xml:space="preserve">Seize personnes ayant la mucoviscidose ont été traitées avec </w:t>
      </w:r>
      <w:proofErr w:type="spellStart"/>
      <w:r>
        <w:rPr>
          <w:rFonts w:ascii="Calibri" w:eastAsia="Calibri" w:hAnsi="Calibri" w:cs="Calibri"/>
          <w:bCs/>
        </w:rPr>
        <w:t>Trikafta</w:t>
      </w:r>
      <w:proofErr w:type="spellEnd"/>
      <w:r>
        <w:rPr>
          <w:rFonts w:ascii="Calibri" w:eastAsia="Calibri" w:hAnsi="Calibri" w:cs="Calibri"/>
          <w:bCs/>
        </w:rPr>
        <w:t xml:space="preserve">. Huit n’avaient reçu aucun traitement spécifique à la mucoviscidose (appelés modulateurs) préalablement, les huit restants sont passés de </w:t>
      </w:r>
      <w:proofErr w:type="spellStart"/>
      <w:r>
        <w:rPr>
          <w:rFonts w:ascii="Calibri" w:eastAsia="Calibri" w:hAnsi="Calibri" w:cs="Calibri"/>
          <w:bCs/>
        </w:rPr>
        <w:t>Kalyde</w:t>
      </w:r>
      <w:r w:rsidR="005E095C">
        <w:rPr>
          <w:rFonts w:ascii="Calibri" w:eastAsia="Calibri" w:hAnsi="Calibri" w:cs="Calibri"/>
          <w:bCs/>
        </w:rPr>
        <w:t>k</w:t>
      </w:r>
      <w:r>
        <w:rPr>
          <w:rFonts w:ascii="Calibri" w:eastAsia="Calibri" w:hAnsi="Calibri" w:cs="Calibri"/>
          <w:bCs/>
        </w:rPr>
        <w:t>o</w:t>
      </w:r>
      <w:proofErr w:type="spellEnd"/>
      <w:r>
        <w:rPr>
          <w:rFonts w:ascii="Calibri" w:eastAsia="Calibri" w:hAnsi="Calibri" w:cs="Calibri"/>
          <w:bCs/>
        </w:rPr>
        <w:t xml:space="preserve"> ou </w:t>
      </w:r>
      <w:proofErr w:type="spellStart"/>
      <w:r>
        <w:rPr>
          <w:rFonts w:ascii="Calibri" w:eastAsia="Calibri" w:hAnsi="Calibri" w:cs="Calibri"/>
          <w:bCs/>
        </w:rPr>
        <w:t>Sym</w:t>
      </w:r>
      <w:r w:rsidR="005E095C">
        <w:rPr>
          <w:rFonts w:ascii="Calibri" w:eastAsia="Calibri" w:hAnsi="Calibri" w:cs="Calibri"/>
          <w:bCs/>
        </w:rPr>
        <w:t>deko</w:t>
      </w:r>
      <w:proofErr w:type="spellEnd"/>
      <w:r w:rsidR="005E095C">
        <w:rPr>
          <w:rFonts w:ascii="Calibri" w:eastAsia="Calibri" w:hAnsi="Calibri" w:cs="Calibri"/>
          <w:bCs/>
        </w:rPr>
        <w:t xml:space="preserve"> (</w:t>
      </w:r>
      <w:proofErr w:type="spellStart"/>
      <w:r w:rsidR="005E095C">
        <w:rPr>
          <w:rFonts w:ascii="Calibri" w:eastAsia="Calibri" w:hAnsi="Calibri" w:cs="Calibri"/>
          <w:bCs/>
        </w:rPr>
        <w:t>Symkevi</w:t>
      </w:r>
      <w:proofErr w:type="spellEnd"/>
      <w:r w:rsidR="005E095C">
        <w:rPr>
          <w:rFonts w:ascii="Calibri" w:eastAsia="Calibri" w:hAnsi="Calibri" w:cs="Calibri"/>
          <w:bCs/>
        </w:rPr>
        <w:t xml:space="preserve">) à </w:t>
      </w:r>
      <w:proofErr w:type="spellStart"/>
      <w:r w:rsidR="005E095C">
        <w:rPr>
          <w:rFonts w:ascii="Calibri" w:eastAsia="Calibri" w:hAnsi="Calibri" w:cs="Calibri"/>
          <w:bCs/>
        </w:rPr>
        <w:t>Trikafta</w:t>
      </w:r>
      <w:proofErr w:type="spellEnd"/>
      <w:r w:rsidR="005E095C">
        <w:rPr>
          <w:rFonts w:ascii="Calibri" w:eastAsia="Calibri" w:hAnsi="Calibri" w:cs="Calibri"/>
          <w:bCs/>
        </w:rPr>
        <w:t xml:space="preserve">. Chez les huit patients sans traitement précédent, il y a eu des améliorations significatives pour le test </w:t>
      </w:r>
      <w:r w:rsidR="009566C3">
        <w:rPr>
          <w:rFonts w:ascii="Calibri" w:eastAsia="Calibri" w:hAnsi="Calibri" w:cs="Calibri"/>
          <w:bCs/>
        </w:rPr>
        <w:t>de</w:t>
      </w:r>
      <w:r w:rsidR="005E095C">
        <w:rPr>
          <w:rFonts w:ascii="Calibri" w:eastAsia="Calibri" w:hAnsi="Calibri" w:cs="Calibri"/>
          <w:bCs/>
        </w:rPr>
        <w:t xml:space="preserve"> la sueur et le besoin en antibiotiques par rapport à avant le traitement </w:t>
      </w:r>
      <w:proofErr w:type="spellStart"/>
      <w:r w:rsidR="005E095C">
        <w:rPr>
          <w:rFonts w:ascii="Calibri" w:eastAsia="Calibri" w:hAnsi="Calibri" w:cs="Calibri"/>
          <w:bCs/>
        </w:rPr>
        <w:t>Trikafta</w:t>
      </w:r>
      <w:proofErr w:type="spellEnd"/>
      <w:r w:rsidR="005E095C">
        <w:rPr>
          <w:rFonts w:ascii="Calibri" w:eastAsia="Calibri" w:hAnsi="Calibri" w:cs="Calibri"/>
          <w:bCs/>
        </w:rPr>
        <w:t xml:space="preserve"> : durant le traitement, les patients n’ont pas montré de phase d’exacerbation alors que la plupart des patients présentaient 1,5 phases d’exacerbations dans l’année </w:t>
      </w:r>
      <w:r w:rsidR="00C944DC">
        <w:rPr>
          <w:rFonts w:ascii="Calibri" w:eastAsia="Calibri" w:hAnsi="Calibri" w:cs="Calibri"/>
          <w:bCs/>
        </w:rPr>
        <w:t>précédant</w:t>
      </w:r>
      <w:r w:rsidR="005E095C">
        <w:rPr>
          <w:rFonts w:ascii="Calibri" w:eastAsia="Calibri" w:hAnsi="Calibri" w:cs="Calibri"/>
          <w:bCs/>
        </w:rPr>
        <w:t xml:space="preserve"> le </w:t>
      </w:r>
      <w:r w:rsidR="00C944DC">
        <w:rPr>
          <w:rFonts w:ascii="Calibri" w:eastAsia="Calibri" w:hAnsi="Calibri" w:cs="Calibri"/>
          <w:bCs/>
        </w:rPr>
        <w:t xml:space="preserve">début du </w:t>
      </w:r>
      <w:r w:rsidR="005E095C">
        <w:rPr>
          <w:rFonts w:ascii="Calibri" w:eastAsia="Calibri" w:hAnsi="Calibri" w:cs="Calibri"/>
          <w:bCs/>
        </w:rPr>
        <w:t>traitement. La fonction pulmonaire</w:t>
      </w:r>
      <w:r w:rsidR="00C944DC">
        <w:rPr>
          <w:rFonts w:ascii="Calibri" w:eastAsia="Calibri" w:hAnsi="Calibri" w:cs="Calibri"/>
          <w:bCs/>
        </w:rPr>
        <w:t xml:space="preserve"> s’est </w:t>
      </w:r>
      <w:r w:rsidR="005E095C">
        <w:rPr>
          <w:rFonts w:ascii="Calibri" w:eastAsia="Calibri" w:hAnsi="Calibri" w:cs="Calibri"/>
          <w:bCs/>
        </w:rPr>
        <w:t>également</w:t>
      </w:r>
      <w:r w:rsidR="00C944DC">
        <w:rPr>
          <w:rFonts w:ascii="Calibri" w:eastAsia="Calibri" w:hAnsi="Calibri" w:cs="Calibri"/>
          <w:bCs/>
        </w:rPr>
        <w:t xml:space="preserve"> </w:t>
      </w:r>
      <w:r w:rsidR="005E095C">
        <w:rPr>
          <w:rFonts w:ascii="Calibri" w:eastAsia="Calibri" w:hAnsi="Calibri" w:cs="Calibri"/>
          <w:bCs/>
        </w:rPr>
        <w:t xml:space="preserve">améliorée passant d’une moyenne de 66,3% à 72,4%. Les patients qui étaient précédemment traités par </w:t>
      </w:r>
      <w:proofErr w:type="spellStart"/>
      <w:r w:rsidR="005E095C">
        <w:rPr>
          <w:rFonts w:ascii="Calibri" w:eastAsia="Calibri" w:hAnsi="Calibri" w:cs="Calibri"/>
          <w:bCs/>
        </w:rPr>
        <w:t>Kalydeko</w:t>
      </w:r>
      <w:proofErr w:type="spellEnd"/>
      <w:r w:rsidR="005E095C">
        <w:rPr>
          <w:rFonts w:ascii="Calibri" w:eastAsia="Calibri" w:hAnsi="Calibri" w:cs="Calibri"/>
          <w:bCs/>
        </w:rPr>
        <w:t xml:space="preserve"> ou </w:t>
      </w:r>
      <w:proofErr w:type="spellStart"/>
      <w:r w:rsidR="005E095C">
        <w:rPr>
          <w:rFonts w:ascii="Calibri" w:eastAsia="Calibri" w:hAnsi="Calibri" w:cs="Calibri"/>
          <w:bCs/>
        </w:rPr>
        <w:t>Symdeko</w:t>
      </w:r>
      <w:proofErr w:type="spellEnd"/>
      <w:r w:rsidR="005E095C">
        <w:rPr>
          <w:rFonts w:ascii="Calibri" w:eastAsia="Calibri" w:hAnsi="Calibri" w:cs="Calibri"/>
          <w:bCs/>
        </w:rPr>
        <w:t xml:space="preserve"> n’ont pas montrés</w:t>
      </w:r>
      <w:r w:rsidR="009566C3">
        <w:rPr>
          <w:rFonts w:ascii="Calibri" w:eastAsia="Calibri" w:hAnsi="Calibri" w:cs="Calibri"/>
          <w:bCs/>
        </w:rPr>
        <w:t xml:space="preserve"> plus</w:t>
      </w:r>
      <w:r w:rsidR="005E095C">
        <w:rPr>
          <w:rFonts w:ascii="Calibri" w:eastAsia="Calibri" w:hAnsi="Calibri" w:cs="Calibri"/>
          <w:bCs/>
        </w:rPr>
        <w:t xml:space="preserve"> d’améliorations sous </w:t>
      </w:r>
      <w:proofErr w:type="spellStart"/>
      <w:r w:rsidR="005E095C">
        <w:rPr>
          <w:rFonts w:ascii="Calibri" w:eastAsia="Calibri" w:hAnsi="Calibri" w:cs="Calibri"/>
          <w:bCs/>
        </w:rPr>
        <w:t>Trikafta</w:t>
      </w:r>
      <w:proofErr w:type="spellEnd"/>
      <w:r w:rsidR="005E095C">
        <w:rPr>
          <w:rFonts w:ascii="Calibri" w:eastAsia="Calibri" w:hAnsi="Calibri" w:cs="Calibri"/>
          <w:bCs/>
        </w:rPr>
        <w:t xml:space="preserve">.   </w:t>
      </w:r>
    </w:p>
    <w:p w14:paraId="6FE4AC75" w14:textId="77777777" w:rsidR="00521A5C" w:rsidRPr="00684E33" w:rsidRDefault="00521A5C" w:rsidP="00802427">
      <w:pPr>
        <w:pStyle w:val="Corps"/>
        <w:spacing w:line="276" w:lineRule="auto"/>
        <w:jc w:val="both"/>
        <w:rPr>
          <w:rStyle w:val="Aucun"/>
          <w:rFonts w:ascii="Calibri" w:eastAsia="Calibri" w:hAnsi="Calibri" w:cs="Calibri"/>
          <w:bCs/>
          <w:color w:val="auto"/>
        </w:rPr>
      </w:pPr>
    </w:p>
    <w:p w14:paraId="4153E005" w14:textId="77777777" w:rsidR="0084000A" w:rsidRPr="00684E33" w:rsidRDefault="00B41EC3" w:rsidP="00802427">
      <w:pPr>
        <w:pStyle w:val="Corps"/>
        <w:spacing w:line="276" w:lineRule="auto"/>
        <w:jc w:val="both"/>
        <w:rPr>
          <w:rStyle w:val="Aucun"/>
          <w:rFonts w:ascii="Calibri" w:hAnsi="Calibri" w:cs="Calibri"/>
          <w:color w:val="auto"/>
        </w:rPr>
      </w:pPr>
      <w:r w:rsidRPr="00684E33">
        <w:rPr>
          <w:rStyle w:val="Aucun"/>
          <w:rFonts w:ascii="Calibri" w:eastAsia="Calibri" w:hAnsi="Calibri" w:cs="Calibri"/>
          <w:b/>
          <w:bCs/>
          <w:color w:val="auto"/>
        </w:rPr>
        <w:t xml:space="preserve">Que cela signifie-t-il et pourquoi faut-il rester prudent ? </w:t>
      </w:r>
    </w:p>
    <w:p w14:paraId="4C5AF3A1" w14:textId="21A136FF" w:rsidR="00802427" w:rsidRPr="00802427" w:rsidRDefault="005E095C" w:rsidP="00802427">
      <w:pPr>
        <w:pStyle w:val="Corps"/>
        <w:spacing w:line="276" w:lineRule="auto"/>
        <w:jc w:val="both"/>
        <w:rPr>
          <w:rFonts w:ascii="Calibri" w:eastAsia="Calibri" w:hAnsi="Calibri" w:cs="Calibri"/>
          <w:bCs/>
        </w:rPr>
      </w:pPr>
      <w:r>
        <w:rPr>
          <w:rFonts w:ascii="Calibri" w:eastAsia="Calibri" w:hAnsi="Calibri" w:cs="Calibri"/>
          <w:bCs/>
        </w:rPr>
        <w:t xml:space="preserve">Nous avons montré que </w:t>
      </w:r>
      <w:r w:rsidR="003238A1">
        <w:rPr>
          <w:rFonts w:ascii="Calibri" w:eastAsia="Calibri" w:hAnsi="Calibri" w:cs="Calibri"/>
          <w:bCs/>
        </w:rPr>
        <w:t xml:space="preserve">pour </w:t>
      </w:r>
      <w:r>
        <w:rPr>
          <w:rFonts w:ascii="Calibri" w:eastAsia="Calibri" w:hAnsi="Calibri" w:cs="Calibri"/>
          <w:bCs/>
        </w:rPr>
        <w:t>des personnes ayant la mucoviscidose et portant certaines mutations rares autres que F508del</w:t>
      </w:r>
      <w:r w:rsidR="003238A1">
        <w:rPr>
          <w:rFonts w:ascii="Calibri" w:eastAsia="Calibri" w:hAnsi="Calibri" w:cs="Calibri"/>
          <w:bCs/>
        </w:rPr>
        <w:t xml:space="preserve">, le traitement par </w:t>
      </w:r>
      <w:proofErr w:type="spellStart"/>
      <w:r w:rsidR="003238A1">
        <w:rPr>
          <w:rFonts w:ascii="Calibri" w:eastAsia="Calibri" w:hAnsi="Calibri" w:cs="Calibri"/>
          <w:bCs/>
        </w:rPr>
        <w:t>Trikafta</w:t>
      </w:r>
      <w:proofErr w:type="spellEnd"/>
      <w:r w:rsidR="003238A1">
        <w:rPr>
          <w:rFonts w:ascii="Calibri" w:eastAsia="Calibri" w:hAnsi="Calibri" w:cs="Calibri"/>
          <w:bCs/>
        </w:rPr>
        <w:t xml:space="preserve"> apportent des effets bénéfiques importants. Cela pourrait ne pas être transposable à tous les patients car seulement certains patients</w:t>
      </w:r>
      <w:r w:rsidR="00C944DC">
        <w:rPr>
          <w:rFonts w:ascii="Calibri" w:eastAsia="Calibri" w:hAnsi="Calibri" w:cs="Calibri"/>
          <w:bCs/>
        </w:rPr>
        <w:t>,</w:t>
      </w:r>
      <w:r w:rsidR="003238A1">
        <w:rPr>
          <w:rFonts w:ascii="Calibri" w:eastAsia="Calibri" w:hAnsi="Calibri" w:cs="Calibri"/>
          <w:bCs/>
        </w:rPr>
        <w:t xml:space="preserve"> ayant des mutations spécifiques</w:t>
      </w:r>
      <w:r w:rsidR="00C944DC">
        <w:rPr>
          <w:rFonts w:ascii="Calibri" w:eastAsia="Calibri" w:hAnsi="Calibri" w:cs="Calibri"/>
          <w:bCs/>
        </w:rPr>
        <w:t xml:space="preserve"> </w:t>
      </w:r>
      <w:r w:rsidR="003238A1">
        <w:rPr>
          <w:rFonts w:ascii="Calibri" w:eastAsia="Calibri" w:hAnsi="Calibri" w:cs="Calibri"/>
          <w:bCs/>
        </w:rPr>
        <w:t xml:space="preserve">autorisées à recevoir </w:t>
      </w:r>
      <w:proofErr w:type="spellStart"/>
      <w:r w:rsidR="003238A1">
        <w:rPr>
          <w:rFonts w:ascii="Calibri" w:eastAsia="Calibri" w:hAnsi="Calibri" w:cs="Calibri"/>
          <w:bCs/>
        </w:rPr>
        <w:t>Trikafta</w:t>
      </w:r>
      <w:proofErr w:type="spellEnd"/>
      <w:r w:rsidR="00C944DC">
        <w:rPr>
          <w:rFonts w:ascii="Calibri" w:eastAsia="Calibri" w:hAnsi="Calibri" w:cs="Calibri"/>
          <w:bCs/>
        </w:rPr>
        <w:t>,</w:t>
      </w:r>
      <w:r w:rsidR="003238A1">
        <w:rPr>
          <w:rFonts w:ascii="Calibri" w:eastAsia="Calibri" w:hAnsi="Calibri" w:cs="Calibri"/>
          <w:bCs/>
        </w:rPr>
        <w:t xml:space="preserve"> ont pu être traités. Les patients qui recevaient déjà d’autres traitements par modulateurs pourraient bénéficier d’un changement pour </w:t>
      </w:r>
      <w:proofErr w:type="spellStart"/>
      <w:r w:rsidR="003238A1">
        <w:rPr>
          <w:rFonts w:ascii="Calibri" w:eastAsia="Calibri" w:hAnsi="Calibri" w:cs="Calibri"/>
          <w:bCs/>
        </w:rPr>
        <w:t>Trikafta</w:t>
      </w:r>
      <w:proofErr w:type="spellEnd"/>
      <w:r w:rsidR="00183ADB">
        <w:rPr>
          <w:rFonts w:ascii="Calibri" w:eastAsia="Calibri" w:hAnsi="Calibri" w:cs="Calibri"/>
          <w:bCs/>
        </w:rPr>
        <w:t>.</w:t>
      </w:r>
      <w:r w:rsidR="003238A1">
        <w:rPr>
          <w:rFonts w:ascii="Calibri" w:eastAsia="Calibri" w:hAnsi="Calibri" w:cs="Calibri"/>
          <w:bCs/>
        </w:rPr>
        <w:t xml:space="preserve"> </w:t>
      </w:r>
      <w:r w:rsidR="00183ADB">
        <w:rPr>
          <w:rFonts w:ascii="Calibri" w:eastAsia="Calibri" w:hAnsi="Calibri" w:cs="Calibri"/>
          <w:bCs/>
        </w:rPr>
        <w:t>Cependant</w:t>
      </w:r>
      <w:r w:rsidR="003238A1">
        <w:rPr>
          <w:rFonts w:ascii="Calibri" w:eastAsia="Calibri" w:hAnsi="Calibri" w:cs="Calibri"/>
          <w:bCs/>
        </w:rPr>
        <w:t xml:space="preserve"> à cause du faible nombre de patients concernés, les patients dans notre étude pourraient ne pas avoir </w:t>
      </w:r>
      <w:r w:rsidR="00C944DC">
        <w:rPr>
          <w:rFonts w:ascii="Calibri" w:eastAsia="Calibri" w:hAnsi="Calibri" w:cs="Calibri"/>
          <w:bCs/>
        </w:rPr>
        <w:t xml:space="preserve">montré </w:t>
      </w:r>
      <w:r w:rsidR="003238A1">
        <w:rPr>
          <w:rFonts w:ascii="Calibri" w:eastAsia="Calibri" w:hAnsi="Calibri" w:cs="Calibri"/>
          <w:bCs/>
        </w:rPr>
        <w:t xml:space="preserve">d’amélioration par malchance, </w:t>
      </w:r>
      <w:r w:rsidR="00183ADB">
        <w:rPr>
          <w:rFonts w:ascii="Calibri" w:eastAsia="Calibri" w:hAnsi="Calibri" w:cs="Calibri"/>
          <w:bCs/>
        </w:rPr>
        <w:t>et</w:t>
      </w:r>
      <w:r w:rsidR="003238A1">
        <w:rPr>
          <w:rFonts w:ascii="Calibri" w:eastAsia="Calibri" w:hAnsi="Calibri" w:cs="Calibri"/>
          <w:bCs/>
        </w:rPr>
        <w:t xml:space="preserve"> d’autres pourraient voir des améliorations grâce au traitement. </w:t>
      </w:r>
    </w:p>
    <w:p w14:paraId="621C1296" w14:textId="77777777" w:rsidR="002C458F" w:rsidRPr="00684E33" w:rsidRDefault="002C458F" w:rsidP="00802427">
      <w:pPr>
        <w:pStyle w:val="Corps"/>
        <w:spacing w:line="276" w:lineRule="auto"/>
        <w:jc w:val="both"/>
        <w:rPr>
          <w:rStyle w:val="Aucun"/>
          <w:rFonts w:ascii="Calibri" w:eastAsia="Calibri" w:hAnsi="Calibri" w:cs="Calibri"/>
          <w:bCs/>
          <w:color w:val="auto"/>
        </w:rPr>
      </w:pPr>
    </w:p>
    <w:p w14:paraId="26CB1E62" w14:textId="77777777" w:rsidR="0084000A" w:rsidRPr="00684E33" w:rsidRDefault="00B41EC3" w:rsidP="00802427">
      <w:pPr>
        <w:pStyle w:val="Corps"/>
        <w:spacing w:line="276" w:lineRule="auto"/>
        <w:jc w:val="both"/>
        <w:rPr>
          <w:rStyle w:val="Aucun"/>
          <w:rFonts w:ascii="Calibri" w:hAnsi="Calibri" w:cs="Calibri"/>
          <w:color w:val="auto"/>
        </w:rPr>
      </w:pPr>
      <w:r w:rsidRPr="00684E33">
        <w:rPr>
          <w:rStyle w:val="Aucun"/>
          <w:rFonts w:ascii="Calibri" w:eastAsia="Calibri" w:hAnsi="Calibri" w:cs="Calibri"/>
          <w:b/>
          <w:bCs/>
          <w:color w:val="auto"/>
        </w:rPr>
        <w:t xml:space="preserve">Quelles sont les perspectives </w:t>
      </w:r>
      <w:r w:rsidRPr="00684E33">
        <w:rPr>
          <w:rStyle w:val="Aucun"/>
          <w:rFonts w:ascii="Calibri" w:eastAsia="Calibri" w:hAnsi="Calibri" w:cs="Calibri"/>
          <w:b/>
          <w:bCs/>
          <w:color w:val="auto"/>
          <w:lang w:val="ru-RU"/>
        </w:rPr>
        <w:t>?</w:t>
      </w:r>
    </w:p>
    <w:p w14:paraId="4552CF56" w14:textId="38376888" w:rsidR="00C944DC" w:rsidRPr="00802427" w:rsidRDefault="00C944DC" w:rsidP="00802427">
      <w:pPr>
        <w:pStyle w:val="Corps"/>
        <w:spacing w:line="276" w:lineRule="auto"/>
        <w:jc w:val="both"/>
        <w:rPr>
          <w:rFonts w:ascii="Calibri" w:eastAsia="Calibri" w:hAnsi="Calibri" w:cs="Calibri"/>
          <w:bCs/>
          <w:color w:val="0D0D0D" w:themeColor="text1" w:themeTint="F2"/>
        </w:rPr>
      </w:pPr>
      <w:r>
        <w:rPr>
          <w:rFonts w:ascii="Calibri" w:eastAsia="Calibri" w:hAnsi="Calibri" w:cs="Calibri"/>
          <w:bCs/>
          <w:color w:val="0D0D0D" w:themeColor="text1" w:themeTint="F2"/>
        </w:rPr>
        <w:t xml:space="preserve">Il y a d’autres mutations qui pourraient bénéficier de </w:t>
      </w:r>
      <w:proofErr w:type="spellStart"/>
      <w:r>
        <w:rPr>
          <w:rFonts w:ascii="Calibri" w:eastAsia="Calibri" w:hAnsi="Calibri" w:cs="Calibri"/>
          <w:bCs/>
          <w:color w:val="0D0D0D" w:themeColor="text1" w:themeTint="F2"/>
        </w:rPr>
        <w:t>Trikafta</w:t>
      </w:r>
      <w:proofErr w:type="spellEnd"/>
      <w:r>
        <w:rPr>
          <w:rFonts w:ascii="Calibri" w:eastAsia="Calibri" w:hAnsi="Calibri" w:cs="Calibri"/>
          <w:bCs/>
          <w:color w:val="0D0D0D" w:themeColor="text1" w:themeTint="F2"/>
        </w:rPr>
        <w:t xml:space="preserve"> et d’autres modulateurs existants ou qui seront disponible dans le futur. Nous suggérons que lorsque les essais cliniques ne peuvent pas être menés, les informations des traitements des patients doivent être collectées et analysées. </w:t>
      </w:r>
    </w:p>
    <w:p w14:paraId="57CAF6A6" w14:textId="77777777" w:rsidR="00521A5C" w:rsidRPr="00684E33" w:rsidRDefault="00521A5C" w:rsidP="00802427">
      <w:pPr>
        <w:pStyle w:val="Corps"/>
        <w:spacing w:line="276" w:lineRule="auto"/>
        <w:jc w:val="both"/>
        <w:rPr>
          <w:rStyle w:val="Aucun"/>
          <w:rFonts w:ascii="Calibri" w:eastAsia="Calibri" w:hAnsi="Calibri" w:cs="Calibri"/>
          <w:bCs/>
          <w:color w:val="0D0D0D" w:themeColor="text1" w:themeTint="F2"/>
        </w:rPr>
      </w:pPr>
    </w:p>
    <w:p w14:paraId="6AA76383" w14:textId="0B6E8206" w:rsidR="00F67D5D" w:rsidRDefault="00F67D5D" w:rsidP="00802427">
      <w:pPr>
        <w:spacing w:line="276" w:lineRule="auto"/>
        <w:jc w:val="both"/>
        <w:rPr>
          <w:rFonts w:ascii="Calibri" w:hAnsi="Calibri" w:cs="Calibri"/>
          <w:b/>
          <w:color w:val="0D0D0D" w:themeColor="text1" w:themeTint="F2"/>
          <w:sz w:val="22"/>
          <w:szCs w:val="22"/>
          <w:lang w:val="fr-FR"/>
        </w:rPr>
      </w:pPr>
      <w:r w:rsidRPr="00684E33">
        <w:rPr>
          <w:rFonts w:ascii="Calibri" w:hAnsi="Calibri" w:cs="Calibri"/>
          <w:b/>
          <w:color w:val="0D0D0D" w:themeColor="text1" w:themeTint="F2"/>
          <w:sz w:val="22"/>
          <w:szCs w:val="22"/>
          <w:lang w:val="fr-FR"/>
        </w:rPr>
        <w:t xml:space="preserve">Lien vers </w:t>
      </w:r>
      <w:r w:rsidR="0083589A" w:rsidRPr="00684E33">
        <w:rPr>
          <w:rFonts w:ascii="Calibri" w:hAnsi="Calibri" w:cs="Calibri"/>
          <w:b/>
          <w:color w:val="0D0D0D" w:themeColor="text1" w:themeTint="F2"/>
          <w:sz w:val="22"/>
          <w:szCs w:val="22"/>
          <w:lang w:val="fr-FR"/>
        </w:rPr>
        <w:t xml:space="preserve">le </w:t>
      </w:r>
      <w:proofErr w:type="spellStart"/>
      <w:r w:rsidR="00725742">
        <w:rPr>
          <w:rFonts w:ascii="Calibri" w:hAnsi="Calibri" w:cs="Calibri"/>
          <w:b/>
          <w:color w:val="0D0D0D" w:themeColor="text1" w:themeTint="F2"/>
          <w:sz w:val="22"/>
          <w:szCs w:val="22"/>
          <w:lang w:val="fr-FR"/>
        </w:rPr>
        <w:t>manuscript</w:t>
      </w:r>
      <w:proofErr w:type="spellEnd"/>
      <w:r w:rsidR="00725742">
        <w:rPr>
          <w:rFonts w:ascii="Calibri" w:hAnsi="Calibri" w:cs="Calibri"/>
          <w:b/>
          <w:color w:val="0D0D0D" w:themeColor="text1" w:themeTint="F2"/>
          <w:sz w:val="22"/>
          <w:szCs w:val="22"/>
          <w:lang w:val="fr-FR"/>
        </w:rPr>
        <w:t xml:space="preserve"> original sur PubMed</w:t>
      </w:r>
      <w:r w:rsidR="00BA656F" w:rsidRPr="00684E33">
        <w:rPr>
          <w:rFonts w:ascii="Calibri" w:hAnsi="Calibri" w:cs="Calibri"/>
          <w:b/>
          <w:color w:val="0D0D0D" w:themeColor="text1" w:themeTint="F2"/>
          <w:sz w:val="22"/>
          <w:szCs w:val="22"/>
          <w:lang w:val="fr-FR"/>
        </w:rPr>
        <w:t xml:space="preserve"> </w:t>
      </w:r>
      <w:r w:rsidRPr="00684E33">
        <w:rPr>
          <w:rFonts w:ascii="Calibri" w:hAnsi="Calibri" w:cs="Calibri"/>
          <w:b/>
          <w:color w:val="0D0D0D" w:themeColor="text1" w:themeTint="F2"/>
          <w:sz w:val="22"/>
          <w:szCs w:val="22"/>
          <w:lang w:val="fr-FR"/>
        </w:rPr>
        <w:t xml:space="preserve">: </w:t>
      </w:r>
    </w:p>
    <w:p w14:paraId="1E7A6359" w14:textId="4616DC80" w:rsidR="00802427" w:rsidRPr="003E4F39" w:rsidRDefault="00152145" w:rsidP="00802427">
      <w:pPr>
        <w:spacing w:line="276" w:lineRule="auto"/>
        <w:jc w:val="both"/>
        <w:rPr>
          <w:rFonts w:ascii="Calibri" w:hAnsi="Calibri" w:cs="Calibri"/>
          <w:color w:val="0D0D0D" w:themeColor="text1" w:themeTint="F2"/>
          <w:sz w:val="22"/>
          <w:szCs w:val="22"/>
          <w:lang w:val="fr-FR"/>
        </w:rPr>
      </w:pPr>
      <w:r w:rsidRPr="00152145">
        <w:rPr>
          <w:rFonts w:ascii="Calibri" w:hAnsi="Calibri" w:cs="Calibri"/>
          <w:bCs/>
          <w:color w:val="0D0D0D" w:themeColor="text1" w:themeTint="F2"/>
          <w:sz w:val="22"/>
          <w:szCs w:val="22"/>
          <w:lang w:val="fr-FR"/>
        </w:rPr>
        <w:t>https://pubmed.ncbi.nlm.nih.gov/36372699/</w:t>
      </w:r>
    </w:p>
    <w:sectPr w:rsidR="00802427" w:rsidRPr="003E4F39" w:rsidSect="00634271">
      <w:pgSz w:w="11900" w:h="16840" w:code="9"/>
      <w:pgMar w:top="1418" w:right="1418" w:bottom="1418" w:left="141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854B7" w14:textId="77777777" w:rsidR="00AE0549" w:rsidRDefault="00AE0549">
      <w:r>
        <w:separator/>
      </w:r>
    </w:p>
  </w:endnote>
  <w:endnote w:type="continuationSeparator" w:id="0">
    <w:p w14:paraId="5238DABF" w14:textId="77777777" w:rsidR="00AE0549" w:rsidRDefault="00AE0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0C06E" w14:textId="77777777" w:rsidR="00AE0549" w:rsidRDefault="00AE0549">
      <w:r>
        <w:separator/>
      </w:r>
    </w:p>
  </w:footnote>
  <w:footnote w:type="continuationSeparator" w:id="0">
    <w:p w14:paraId="654AE9E8" w14:textId="77777777" w:rsidR="00AE0549" w:rsidRDefault="00AE05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D83C5C"/>
    <w:multiLevelType w:val="hybridMultilevel"/>
    <w:tmpl w:val="C302A5AC"/>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5E227C4A"/>
    <w:multiLevelType w:val="hybridMultilevel"/>
    <w:tmpl w:val="A1525086"/>
    <w:lvl w:ilvl="0" w:tplc="B36266AA">
      <w:start w:val="1"/>
      <w:numFmt w:val="decimal"/>
      <w:lvlText w:val="%1."/>
      <w:lvlJc w:val="left"/>
      <w:pPr>
        <w:ind w:left="927" w:hanging="360"/>
      </w:pPr>
      <w:rPr>
        <w:rFonts w:ascii="Calibri" w:eastAsiaTheme="minorHAnsi" w:hAnsi="Calibri" w:cs="Calibri" w:hint="default"/>
        <w:sz w:val="22"/>
        <w:szCs w:val="22"/>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num w:numId="1" w16cid:durableId="1114447220">
    <w:abstractNumId w:val="0"/>
  </w:num>
  <w:num w:numId="2" w16cid:durableId="15740010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00A"/>
    <w:rsid w:val="00017EA7"/>
    <w:rsid w:val="000559A3"/>
    <w:rsid w:val="000559D4"/>
    <w:rsid w:val="00071E84"/>
    <w:rsid w:val="00092B3B"/>
    <w:rsid w:val="00092F23"/>
    <w:rsid w:val="00094A47"/>
    <w:rsid w:val="000B5CBA"/>
    <w:rsid w:val="000C70BD"/>
    <w:rsid w:val="000F567A"/>
    <w:rsid w:val="00152145"/>
    <w:rsid w:val="001542F8"/>
    <w:rsid w:val="001837BB"/>
    <w:rsid w:val="00183ADB"/>
    <w:rsid w:val="00193791"/>
    <w:rsid w:val="001B2C10"/>
    <w:rsid w:val="001E4654"/>
    <w:rsid w:val="001F5629"/>
    <w:rsid w:val="00207E0B"/>
    <w:rsid w:val="002126A9"/>
    <w:rsid w:val="00214133"/>
    <w:rsid w:val="002331AA"/>
    <w:rsid w:val="002633D6"/>
    <w:rsid w:val="00263DD0"/>
    <w:rsid w:val="002C29B3"/>
    <w:rsid w:val="002C458F"/>
    <w:rsid w:val="002D5096"/>
    <w:rsid w:val="003238A1"/>
    <w:rsid w:val="00323AAD"/>
    <w:rsid w:val="003631B9"/>
    <w:rsid w:val="00376C3E"/>
    <w:rsid w:val="003C0F76"/>
    <w:rsid w:val="003E4F39"/>
    <w:rsid w:val="0040130D"/>
    <w:rsid w:val="00414ACF"/>
    <w:rsid w:val="00416B48"/>
    <w:rsid w:val="00427E7C"/>
    <w:rsid w:val="00430B20"/>
    <w:rsid w:val="00460FDF"/>
    <w:rsid w:val="00471E21"/>
    <w:rsid w:val="0047663B"/>
    <w:rsid w:val="004922C9"/>
    <w:rsid w:val="004C3681"/>
    <w:rsid w:val="004D6124"/>
    <w:rsid w:val="004E6109"/>
    <w:rsid w:val="005128FE"/>
    <w:rsid w:val="00521A5C"/>
    <w:rsid w:val="00523F00"/>
    <w:rsid w:val="00526693"/>
    <w:rsid w:val="005337F7"/>
    <w:rsid w:val="00551DA4"/>
    <w:rsid w:val="0056301C"/>
    <w:rsid w:val="00584FF3"/>
    <w:rsid w:val="005B2753"/>
    <w:rsid w:val="005C0756"/>
    <w:rsid w:val="005E07F6"/>
    <w:rsid w:val="005E095C"/>
    <w:rsid w:val="005E12E2"/>
    <w:rsid w:val="005E2CBC"/>
    <w:rsid w:val="005F790C"/>
    <w:rsid w:val="00634271"/>
    <w:rsid w:val="006360E7"/>
    <w:rsid w:val="00684E33"/>
    <w:rsid w:val="00685298"/>
    <w:rsid w:val="00686052"/>
    <w:rsid w:val="00694ACA"/>
    <w:rsid w:val="00695440"/>
    <w:rsid w:val="006B41FA"/>
    <w:rsid w:val="006E1FC0"/>
    <w:rsid w:val="00725742"/>
    <w:rsid w:val="00734FF3"/>
    <w:rsid w:val="007668E3"/>
    <w:rsid w:val="007E3F73"/>
    <w:rsid w:val="007E6497"/>
    <w:rsid w:val="007F45B8"/>
    <w:rsid w:val="00802427"/>
    <w:rsid w:val="00821B0D"/>
    <w:rsid w:val="0083589A"/>
    <w:rsid w:val="0084000A"/>
    <w:rsid w:val="00842D5E"/>
    <w:rsid w:val="00852FAD"/>
    <w:rsid w:val="00860D69"/>
    <w:rsid w:val="0087302D"/>
    <w:rsid w:val="00883B97"/>
    <w:rsid w:val="00885CA3"/>
    <w:rsid w:val="00886081"/>
    <w:rsid w:val="008B13C4"/>
    <w:rsid w:val="008F012A"/>
    <w:rsid w:val="008F5912"/>
    <w:rsid w:val="008F67B8"/>
    <w:rsid w:val="008F7C1A"/>
    <w:rsid w:val="00906E60"/>
    <w:rsid w:val="00916943"/>
    <w:rsid w:val="00916BA2"/>
    <w:rsid w:val="0092698E"/>
    <w:rsid w:val="0094026D"/>
    <w:rsid w:val="00956295"/>
    <w:rsid w:val="009566C3"/>
    <w:rsid w:val="0097245A"/>
    <w:rsid w:val="0097517B"/>
    <w:rsid w:val="009775C2"/>
    <w:rsid w:val="00993D95"/>
    <w:rsid w:val="009B3CC6"/>
    <w:rsid w:val="009B5843"/>
    <w:rsid w:val="009C4C86"/>
    <w:rsid w:val="009E3765"/>
    <w:rsid w:val="009F6F08"/>
    <w:rsid w:val="00A15672"/>
    <w:rsid w:val="00A20AC3"/>
    <w:rsid w:val="00A262B7"/>
    <w:rsid w:val="00A71567"/>
    <w:rsid w:val="00AB789B"/>
    <w:rsid w:val="00AD56DB"/>
    <w:rsid w:val="00AE0549"/>
    <w:rsid w:val="00AE0ACF"/>
    <w:rsid w:val="00AF3B95"/>
    <w:rsid w:val="00B10F12"/>
    <w:rsid w:val="00B17023"/>
    <w:rsid w:val="00B364B3"/>
    <w:rsid w:val="00B41EC3"/>
    <w:rsid w:val="00B43B6F"/>
    <w:rsid w:val="00B52BB6"/>
    <w:rsid w:val="00B8415F"/>
    <w:rsid w:val="00B95030"/>
    <w:rsid w:val="00BA499A"/>
    <w:rsid w:val="00BA5A27"/>
    <w:rsid w:val="00BA656F"/>
    <w:rsid w:val="00BB6AF2"/>
    <w:rsid w:val="00BC405A"/>
    <w:rsid w:val="00BC5DF4"/>
    <w:rsid w:val="00C0149A"/>
    <w:rsid w:val="00C0625F"/>
    <w:rsid w:val="00C76456"/>
    <w:rsid w:val="00C87176"/>
    <w:rsid w:val="00C944DC"/>
    <w:rsid w:val="00CC243A"/>
    <w:rsid w:val="00CE2277"/>
    <w:rsid w:val="00D35A92"/>
    <w:rsid w:val="00D425E7"/>
    <w:rsid w:val="00D4698F"/>
    <w:rsid w:val="00D64632"/>
    <w:rsid w:val="00D776BC"/>
    <w:rsid w:val="00D8134D"/>
    <w:rsid w:val="00DB68FB"/>
    <w:rsid w:val="00DC6BDF"/>
    <w:rsid w:val="00DD3476"/>
    <w:rsid w:val="00E167AE"/>
    <w:rsid w:val="00E16F41"/>
    <w:rsid w:val="00E26D3A"/>
    <w:rsid w:val="00E367DE"/>
    <w:rsid w:val="00E44B32"/>
    <w:rsid w:val="00E506CC"/>
    <w:rsid w:val="00E66C4B"/>
    <w:rsid w:val="00E927D8"/>
    <w:rsid w:val="00E94F0F"/>
    <w:rsid w:val="00ED53C5"/>
    <w:rsid w:val="00F14515"/>
    <w:rsid w:val="00F607C1"/>
    <w:rsid w:val="00F67D5D"/>
    <w:rsid w:val="00F712E7"/>
    <w:rsid w:val="00FB73EC"/>
    <w:rsid w:val="00FD3671"/>
    <w:rsid w:val="00FF77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78715"/>
  <w15:docId w15:val="{9B2A8CE0-CF78-414A-845E-CD6142DB1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rPr>
  </w:style>
  <w:style w:type="paragraph" w:customStyle="1" w:styleId="Corps">
    <w:name w:val="Corps"/>
    <w:rPr>
      <w:rFonts w:cs="Arial Unicode MS"/>
      <w:color w:val="000000"/>
      <w:sz w:val="22"/>
      <w:szCs w:val="22"/>
      <w:u w:color="000000"/>
    </w:rPr>
  </w:style>
  <w:style w:type="character" w:customStyle="1" w:styleId="Aucun">
    <w:name w:val="Aucun"/>
  </w:style>
  <w:style w:type="character" w:customStyle="1" w:styleId="Hyperlink0">
    <w:name w:val="Hyperlink.0"/>
    <w:basedOn w:val="Aucun"/>
    <w:rPr>
      <w:rFonts w:ascii="Calibri" w:eastAsia="Calibri" w:hAnsi="Calibri" w:cs="Calibri"/>
      <w:color w:val="0000FF"/>
      <w:u w:val="single"/>
    </w:rPr>
  </w:style>
  <w:style w:type="character" w:customStyle="1" w:styleId="Hyperlink1">
    <w:name w:val="Hyperlink.1"/>
    <w:basedOn w:val="Aucun"/>
    <w:rPr>
      <w:rFonts w:ascii="Calibri" w:eastAsia="Calibri" w:hAnsi="Calibri" w:cs="Calibri"/>
      <w:color w:val="0000FF"/>
      <w:sz w:val="24"/>
      <w:szCs w:val="24"/>
      <w:u w:val="single"/>
    </w:rPr>
  </w:style>
  <w:style w:type="paragraph" w:styleId="NormalWeb">
    <w:name w:val="Normal (Web)"/>
    <w:basedOn w:val="Normal"/>
    <w:uiPriority w:val="99"/>
    <w:unhideWhenUsed/>
    <w:rsid w:val="002126A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fr-FR" w:eastAsia="fr-FR"/>
    </w:rPr>
  </w:style>
  <w:style w:type="paragraph" w:styleId="Pieddepage">
    <w:name w:val="footer"/>
    <w:basedOn w:val="Normal"/>
    <w:link w:val="PieddepageCar"/>
    <w:uiPriority w:val="99"/>
    <w:unhideWhenUsed/>
    <w:rsid w:val="00F67D5D"/>
    <w:pPr>
      <w:tabs>
        <w:tab w:val="center" w:pos="4536"/>
        <w:tab w:val="right" w:pos="9072"/>
      </w:tabs>
    </w:pPr>
  </w:style>
  <w:style w:type="character" w:customStyle="1" w:styleId="PieddepageCar">
    <w:name w:val="Pied de page Car"/>
    <w:basedOn w:val="Policepardfaut"/>
    <w:link w:val="Pieddepage"/>
    <w:uiPriority w:val="99"/>
    <w:rsid w:val="00F67D5D"/>
    <w:rPr>
      <w:sz w:val="24"/>
      <w:szCs w:val="24"/>
      <w:lang w:val="en-US" w:eastAsia="en-US"/>
    </w:rPr>
  </w:style>
  <w:style w:type="paragraph" w:customStyle="1" w:styleId="Default">
    <w:name w:val="Default"/>
    <w:rsid w:val="00A262B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hAnsi="Calibri" w:cs="Calibri"/>
      <w:color w:val="000000"/>
      <w:sz w:val="24"/>
      <w:szCs w:val="24"/>
    </w:rPr>
  </w:style>
  <w:style w:type="character" w:styleId="Lienhypertextesuivivisit">
    <w:name w:val="FollowedHyperlink"/>
    <w:basedOn w:val="Policepardfaut"/>
    <w:uiPriority w:val="99"/>
    <w:semiHidden/>
    <w:unhideWhenUsed/>
    <w:rsid w:val="0094026D"/>
    <w:rPr>
      <w:color w:val="FF00FF" w:themeColor="followedHyperlink"/>
      <w:u w:val="single"/>
    </w:rPr>
  </w:style>
  <w:style w:type="paragraph" w:styleId="Paragraphedeliste">
    <w:name w:val="List Paragraph"/>
    <w:basedOn w:val="Normal"/>
    <w:uiPriority w:val="34"/>
    <w:qFormat/>
    <w:rsid w:val="00FD3671"/>
    <w:pPr>
      <w:pBdr>
        <w:top w:val="none" w:sz="0" w:space="0" w:color="auto"/>
        <w:left w:val="none" w:sz="0" w:space="0" w:color="auto"/>
        <w:bottom w:val="none" w:sz="0" w:space="0" w:color="auto"/>
        <w:right w:val="none" w:sz="0" w:space="0" w:color="auto"/>
        <w:between w:val="none" w:sz="0" w:space="0" w:color="auto"/>
        <w:bar w:val="none" w:sz="0" w:color="auto"/>
      </w:pBdr>
      <w:bidi/>
      <w:spacing w:after="160" w:line="256" w:lineRule="auto"/>
      <w:ind w:left="720"/>
      <w:contextualSpacing/>
    </w:pPr>
    <w:rPr>
      <w:rFonts w:asciiTheme="minorHAnsi" w:eastAsiaTheme="minorHAnsi" w:hAnsiTheme="minorHAnsi" w:cstheme="minorBidi"/>
      <w:sz w:val="22"/>
      <w:szCs w:val="22"/>
      <w:bdr w:val="none" w:sz="0" w:space="0" w:color="auto"/>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704754">
      <w:bodyDiv w:val="1"/>
      <w:marLeft w:val="0"/>
      <w:marRight w:val="0"/>
      <w:marTop w:val="0"/>
      <w:marBottom w:val="0"/>
      <w:divBdr>
        <w:top w:val="none" w:sz="0" w:space="0" w:color="auto"/>
        <w:left w:val="none" w:sz="0" w:space="0" w:color="auto"/>
        <w:bottom w:val="none" w:sz="0" w:space="0" w:color="auto"/>
        <w:right w:val="none" w:sz="0" w:space="0" w:color="auto"/>
      </w:divBdr>
    </w:div>
    <w:div w:id="766727732">
      <w:bodyDiv w:val="1"/>
      <w:marLeft w:val="0"/>
      <w:marRight w:val="0"/>
      <w:marTop w:val="0"/>
      <w:marBottom w:val="0"/>
      <w:divBdr>
        <w:top w:val="none" w:sz="0" w:space="0" w:color="auto"/>
        <w:left w:val="none" w:sz="0" w:space="0" w:color="auto"/>
        <w:bottom w:val="none" w:sz="0" w:space="0" w:color="auto"/>
        <w:right w:val="none" w:sz="0" w:space="0" w:color="auto"/>
      </w:divBdr>
      <w:divsChild>
        <w:div w:id="137305985">
          <w:marLeft w:val="0"/>
          <w:marRight w:val="0"/>
          <w:marTop w:val="0"/>
          <w:marBottom w:val="0"/>
          <w:divBdr>
            <w:top w:val="none" w:sz="0" w:space="0" w:color="auto"/>
            <w:left w:val="none" w:sz="0" w:space="0" w:color="auto"/>
            <w:bottom w:val="none" w:sz="0" w:space="0" w:color="auto"/>
            <w:right w:val="none" w:sz="0" w:space="0" w:color="auto"/>
          </w:divBdr>
          <w:divsChild>
            <w:div w:id="1033533442">
              <w:marLeft w:val="0"/>
              <w:marRight w:val="0"/>
              <w:marTop w:val="0"/>
              <w:marBottom w:val="0"/>
              <w:divBdr>
                <w:top w:val="none" w:sz="0" w:space="0" w:color="auto"/>
                <w:left w:val="none" w:sz="0" w:space="0" w:color="auto"/>
                <w:bottom w:val="none" w:sz="0" w:space="0" w:color="auto"/>
                <w:right w:val="none" w:sz="0" w:space="0" w:color="auto"/>
              </w:divBdr>
              <w:divsChild>
                <w:div w:id="107192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267324">
      <w:bodyDiv w:val="1"/>
      <w:marLeft w:val="0"/>
      <w:marRight w:val="0"/>
      <w:marTop w:val="0"/>
      <w:marBottom w:val="0"/>
      <w:divBdr>
        <w:top w:val="none" w:sz="0" w:space="0" w:color="auto"/>
        <w:left w:val="none" w:sz="0" w:space="0" w:color="auto"/>
        <w:bottom w:val="none" w:sz="0" w:space="0" w:color="auto"/>
        <w:right w:val="none" w:sz="0" w:space="0" w:color="auto"/>
      </w:divBdr>
    </w:div>
    <w:div w:id="851647404">
      <w:bodyDiv w:val="1"/>
      <w:marLeft w:val="0"/>
      <w:marRight w:val="0"/>
      <w:marTop w:val="0"/>
      <w:marBottom w:val="0"/>
      <w:divBdr>
        <w:top w:val="none" w:sz="0" w:space="0" w:color="auto"/>
        <w:left w:val="none" w:sz="0" w:space="0" w:color="auto"/>
        <w:bottom w:val="none" w:sz="0" w:space="0" w:color="auto"/>
        <w:right w:val="none" w:sz="0" w:space="0" w:color="auto"/>
      </w:divBdr>
      <w:divsChild>
        <w:div w:id="971600248">
          <w:marLeft w:val="0"/>
          <w:marRight w:val="0"/>
          <w:marTop w:val="0"/>
          <w:marBottom w:val="0"/>
          <w:divBdr>
            <w:top w:val="none" w:sz="0" w:space="0" w:color="auto"/>
            <w:left w:val="none" w:sz="0" w:space="0" w:color="auto"/>
            <w:bottom w:val="none" w:sz="0" w:space="0" w:color="auto"/>
            <w:right w:val="none" w:sz="0" w:space="0" w:color="auto"/>
          </w:divBdr>
          <w:divsChild>
            <w:div w:id="23747445">
              <w:marLeft w:val="0"/>
              <w:marRight w:val="0"/>
              <w:marTop w:val="0"/>
              <w:marBottom w:val="0"/>
              <w:divBdr>
                <w:top w:val="none" w:sz="0" w:space="0" w:color="auto"/>
                <w:left w:val="none" w:sz="0" w:space="0" w:color="auto"/>
                <w:bottom w:val="none" w:sz="0" w:space="0" w:color="auto"/>
                <w:right w:val="none" w:sz="0" w:space="0" w:color="auto"/>
              </w:divBdr>
              <w:divsChild>
                <w:div w:id="142784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818318">
      <w:bodyDiv w:val="1"/>
      <w:marLeft w:val="0"/>
      <w:marRight w:val="0"/>
      <w:marTop w:val="0"/>
      <w:marBottom w:val="0"/>
      <w:divBdr>
        <w:top w:val="none" w:sz="0" w:space="0" w:color="auto"/>
        <w:left w:val="none" w:sz="0" w:space="0" w:color="auto"/>
        <w:bottom w:val="none" w:sz="0" w:space="0" w:color="auto"/>
        <w:right w:val="none" w:sz="0" w:space="0" w:color="auto"/>
      </w:divBdr>
    </w:div>
    <w:div w:id="1501384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B3892-3FBA-4DE4-BC18-DDF058C04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837</Words>
  <Characters>4608</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Thierry</dc:creator>
  <cp:lastModifiedBy>Mélanie Tobin</cp:lastModifiedBy>
  <cp:revision>2</cp:revision>
  <cp:lastPrinted>2019-10-29T16:53:00Z</cp:lastPrinted>
  <dcterms:created xsi:type="dcterms:W3CDTF">2023-02-06T09:31:00Z</dcterms:created>
  <dcterms:modified xsi:type="dcterms:W3CDTF">2023-02-06T09:31:00Z</dcterms:modified>
</cp:coreProperties>
</file>