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F2" w:rsidRPr="00AF6BF2" w:rsidRDefault="008D491A" w:rsidP="00AF6BF2">
      <w:pPr>
        <w:pStyle w:val="Titre1"/>
        <w:spacing w:before="0" w:beforeAutospacing="0"/>
        <w:jc w:val="right"/>
        <w:rPr>
          <w:rFonts w:asciiTheme="minorHAnsi" w:hAnsiTheme="minorHAnsi" w:cs="Arial"/>
          <w:b w:val="0"/>
          <w:sz w:val="24"/>
          <w:szCs w:val="24"/>
        </w:rPr>
      </w:pPr>
      <w:r>
        <w:rPr>
          <w:rFonts w:asciiTheme="minorHAnsi" w:hAnsiTheme="minorHAnsi" w:cs="Arial"/>
          <w:b w:val="0"/>
          <w:sz w:val="24"/>
          <w:szCs w:val="24"/>
        </w:rPr>
        <w:t xml:space="preserve">Décembre </w:t>
      </w:r>
      <w:r w:rsidR="00AF6BF2" w:rsidRPr="00AF6BF2">
        <w:rPr>
          <w:rFonts w:asciiTheme="minorHAnsi" w:hAnsiTheme="minorHAnsi" w:cs="Arial"/>
          <w:b w:val="0"/>
          <w:sz w:val="24"/>
          <w:szCs w:val="24"/>
        </w:rPr>
        <w:t>2015</w:t>
      </w:r>
    </w:p>
    <w:p w:rsidR="00854080" w:rsidRPr="009A5DCB" w:rsidRDefault="00727DB1" w:rsidP="009A5DCB">
      <w:pPr>
        <w:pStyle w:val="Titre1"/>
        <w:spacing w:before="0" w:beforeAutospacing="0"/>
        <w:jc w:val="center"/>
        <w:rPr>
          <w:rFonts w:asciiTheme="minorHAnsi" w:hAnsiTheme="minorHAnsi" w:cs="Arial"/>
          <w:sz w:val="36"/>
          <w:szCs w:val="36"/>
        </w:rPr>
      </w:pPr>
      <w:r w:rsidRPr="009A5DCB">
        <w:rPr>
          <w:rFonts w:asciiTheme="minorHAnsi" w:hAnsiTheme="minorHAnsi" w:cs="Arial"/>
          <w:sz w:val="36"/>
          <w:szCs w:val="36"/>
        </w:rPr>
        <w:t>F</w:t>
      </w:r>
      <w:r w:rsidR="00854080" w:rsidRPr="009A5DCB">
        <w:rPr>
          <w:rFonts w:asciiTheme="minorHAnsi" w:hAnsiTheme="minorHAnsi" w:cs="Arial"/>
          <w:sz w:val="36"/>
          <w:szCs w:val="36"/>
        </w:rPr>
        <w:t xml:space="preserve">oire </w:t>
      </w:r>
      <w:r w:rsidR="009A5DCB" w:rsidRPr="009A5DCB">
        <w:rPr>
          <w:rFonts w:asciiTheme="minorHAnsi" w:hAnsiTheme="minorHAnsi" w:cs="Arial"/>
          <w:sz w:val="36"/>
          <w:szCs w:val="36"/>
        </w:rPr>
        <w:t>a</w:t>
      </w:r>
      <w:r w:rsidR="00854080" w:rsidRPr="009A5DCB">
        <w:rPr>
          <w:rFonts w:asciiTheme="minorHAnsi" w:hAnsiTheme="minorHAnsi" w:cs="Arial"/>
          <w:sz w:val="36"/>
          <w:szCs w:val="36"/>
        </w:rPr>
        <w:t xml:space="preserve">ux </w:t>
      </w:r>
      <w:r w:rsidR="009A5DCB" w:rsidRPr="009A5DCB">
        <w:rPr>
          <w:rFonts w:asciiTheme="minorHAnsi" w:hAnsiTheme="minorHAnsi" w:cs="Arial"/>
          <w:sz w:val="36"/>
          <w:szCs w:val="36"/>
        </w:rPr>
        <w:t>q</w:t>
      </w:r>
      <w:r w:rsidR="00854080" w:rsidRPr="009A5DCB">
        <w:rPr>
          <w:rFonts w:asciiTheme="minorHAnsi" w:hAnsiTheme="minorHAnsi" w:cs="Arial"/>
          <w:sz w:val="36"/>
          <w:szCs w:val="36"/>
        </w:rPr>
        <w:t>uestions</w:t>
      </w:r>
    </w:p>
    <w:p w:rsidR="0012069D" w:rsidRDefault="00B5660B" w:rsidP="007E6863">
      <w:pPr>
        <w:pStyle w:val="Titre1"/>
        <w:jc w:val="center"/>
        <w:rPr>
          <w:rFonts w:asciiTheme="minorHAnsi" w:hAnsiTheme="minorHAnsi" w:cs="Arial"/>
          <w:sz w:val="32"/>
          <w:szCs w:val="32"/>
        </w:rPr>
      </w:pPr>
      <w:r>
        <w:rPr>
          <w:rFonts w:asciiTheme="minorHAnsi" w:hAnsiTheme="minorHAnsi" w:cs="Arial"/>
          <w:sz w:val="32"/>
          <w:szCs w:val="32"/>
        </w:rPr>
        <w:t>Une combinaison de molécules (</w:t>
      </w:r>
      <w:proofErr w:type="spellStart"/>
      <w:r w:rsidRPr="000D1F53">
        <w:rPr>
          <w:rFonts w:asciiTheme="minorHAnsi" w:hAnsiTheme="minorHAnsi" w:cs="Arial"/>
          <w:sz w:val="32"/>
          <w:szCs w:val="32"/>
        </w:rPr>
        <w:t>lumacaftor</w:t>
      </w:r>
      <w:proofErr w:type="spellEnd"/>
      <w:r w:rsidR="00A773C1">
        <w:rPr>
          <w:rFonts w:asciiTheme="minorHAnsi" w:hAnsiTheme="minorHAnsi" w:cs="Arial"/>
          <w:sz w:val="32"/>
          <w:szCs w:val="32"/>
        </w:rPr>
        <w:t>/</w:t>
      </w:r>
      <w:proofErr w:type="spellStart"/>
      <w:r w:rsidR="00A773C1">
        <w:rPr>
          <w:rFonts w:asciiTheme="minorHAnsi" w:hAnsiTheme="minorHAnsi" w:cs="Arial"/>
          <w:sz w:val="32"/>
          <w:szCs w:val="32"/>
        </w:rPr>
        <w:t>ivacaftor</w:t>
      </w:r>
      <w:proofErr w:type="spellEnd"/>
      <w:r>
        <w:rPr>
          <w:rFonts w:asciiTheme="minorHAnsi" w:hAnsiTheme="minorHAnsi" w:cs="Arial"/>
          <w:sz w:val="32"/>
          <w:szCs w:val="32"/>
        </w:rPr>
        <w:t xml:space="preserve">) </w:t>
      </w:r>
      <w:r w:rsidR="00255418">
        <w:rPr>
          <w:rFonts w:asciiTheme="minorHAnsi" w:hAnsiTheme="minorHAnsi" w:cs="Arial"/>
          <w:sz w:val="32"/>
          <w:szCs w:val="32"/>
        </w:rPr>
        <w:t xml:space="preserve">pour </w:t>
      </w:r>
      <w:r w:rsidR="0012069D">
        <w:rPr>
          <w:rFonts w:asciiTheme="minorHAnsi" w:hAnsiTheme="minorHAnsi" w:cs="Arial"/>
          <w:sz w:val="32"/>
          <w:szCs w:val="32"/>
        </w:rPr>
        <w:t>des patients</w:t>
      </w:r>
      <w:r w:rsidR="003928E7">
        <w:rPr>
          <w:rFonts w:asciiTheme="minorHAnsi" w:hAnsiTheme="minorHAnsi" w:cs="Arial"/>
          <w:sz w:val="32"/>
          <w:szCs w:val="32"/>
        </w:rPr>
        <w:t xml:space="preserve"> atteints de mucoviscidose porteurs de deux copies de la mutation </w:t>
      </w:r>
      <w:r w:rsidR="00CF6E04">
        <w:rPr>
          <w:rFonts w:asciiTheme="minorHAnsi" w:hAnsiTheme="minorHAnsi" w:cs="Arial"/>
          <w:sz w:val="32"/>
          <w:szCs w:val="32"/>
        </w:rPr>
        <w:t>F508d</w:t>
      </w:r>
      <w:bookmarkStart w:id="0" w:name="_GoBack"/>
      <w:bookmarkEnd w:id="0"/>
      <w:r w:rsidR="00CF6E04">
        <w:rPr>
          <w:rFonts w:asciiTheme="minorHAnsi" w:hAnsiTheme="minorHAnsi" w:cs="Arial"/>
          <w:sz w:val="32"/>
          <w:szCs w:val="32"/>
        </w:rPr>
        <w:t>el</w:t>
      </w:r>
      <w:r w:rsidR="007E6863">
        <w:rPr>
          <w:rFonts w:asciiTheme="minorHAnsi" w:hAnsiTheme="minorHAnsi" w:cs="Arial"/>
          <w:sz w:val="32"/>
          <w:szCs w:val="32"/>
        </w:rPr>
        <w:t xml:space="preserve"> </w:t>
      </w:r>
    </w:p>
    <w:p w:rsidR="007E6863" w:rsidRDefault="00854080" w:rsidP="00854080">
      <w:pPr>
        <w:pStyle w:val="Titre1"/>
        <w:spacing w:before="0" w:beforeAutospacing="0" w:after="0" w:afterAutospacing="0"/>
        <w:jc w:val="center"/>
        <w:rPr>
          <w:rFonts w:asciiTheme="minorHAnsi" w:hAnsiTheme="minorHAnsi" w:cs="Arial"/>
          <w:b w:val="0"/>
          <w:i/>
          <w:sz w:val="24"/>
          <w:szCs w:val="24"/>
        </w:rPr>
      </w:pPr>
      <w:r w:rsidRPr="00854080">
        <w:rPr>
          <w:rFonts w:asciiTheme="minorHAnsi" w:hAnsiTheme="minorHAnsi" w:cs="Arial"/>
          <w:b w:val="0"/>
          <w:i/>
          <w:sz w:val="24"/>
          <w:szCs w:val="24"/>
        </w:rPr>
        <w:t xml:space="preserve">Cette FAQ n’est pas exhaustive et pourra évoluer </w:t>
      </w:r>
      <w:r>
        <w:rPr>
          <w:rFonts w:asciiTheme="minorHAnsi" w:hAnsiTheme="minorHAnsi" w:cs="Arial"/>
          <w:b w:val="0"/>
          <w:i/>
          <w:sz w:val="24"/>
          <w:szCs w:val="24"/>
        </w:rPr>
        <w:t>dans les semaines à venir.</w:t>
      </w:r>
    </w:p>
    <w:p w:rsidR="00854080" w:rsidRDefault="00854080" w:rsidP="00854080">
      <w:pPr>
        <w:pStyle w:val="Titre1"/>
        <w:spacing w:before="0" w:beforeAutospacing="0" w:after="0" w:afterAutospacing="0"/>
        <w:jc w:val="center"/>
        <w:rPr>
          <w:rFonts w:asciiTheme="minorHAnsi" w:hAnsiTheme="minorHAnsi" w:cs="Arial"/>
          <w:b w:val="0"/>
          <w:i/>
          <w:sz w:val="24"/>
          <w:szCs w:val="24"/>
        </w:rPr>
      </w:pPr>
      <w:r>
        <w:rPr>
          <w:rFonts w:asciiTheme="minorHAnsi" w:hAnsiTheme="minorHAnsi" w:cs="Arial"/>
          <w:b w:val="0"/>
          <w:i/>
          <w:sz w:val="24"/>
          <w:szCs w:val="24"/>
        </w:rPr>
        <w:t>N’hésitez pas à contacter l’association pour poser vos questions.</w:t>
      </w:r>
    </w:p>
    <w:p w:rsidR="00783A78" w:rsidRPr="00854080" w:rsidRDefault="00783A78" w:rsidP="00854080">
      <w:pPr>
        <w:pStyle w:val="Titre1"/>
        <w:spacing w:before="0" w:beforeAutospacing="0" w:after="0" w:afterAutospacing="0"/>
        <w:jc w:val="center"/>
        <w:rPr>
          <w:rFonts w:asciiTheme="minorHAnsi" w:hAnsiTheme="minorHAnsi" w:cs="Arial"/>
          <w:b w:val="0"/>
          <w:i/>
          <w:sz w:val="24"/>
          <w:szCs w:val="24"/>
        </w:rPr>
      </w:pPr>
    </w:p>
    <w:p w:rsidR="00D20EE7" w:rsidRPr="000D1F53" w:rsidRDefault="00D20EE7" w:rsidP="001B7CB2">
      <w:pPr>
        <w:pStyle w:val="Titre1"/>
        <w:numPr>
          <w:ilvl w:val="0"/>
          <w:numId w:val="1"/>
        </w:numPr>
        <w:rPr>
          <w:rFonts w:asciiTheme="minorHAnsi" w:hAnsiTheme="minorHAnsi" w:cs="Arial"/>
          <w:sz w:val="28"/>
          <w:szCs w:val="28"/>
        </w:rPr>
      </w:pPr>
      <w:r w:rsidRPr="000D1F53">
        <w:rPr>
          <w:rFonts w:asciiTheme="minorHAnsi" w:hAnsiTheme="minorHAnsi" w:cs="Arial"/>
          <w:sz w:val="28"/>
          <w:szCs w:val="28"/>
        </w:rPr>
        <w:t xml:space="preserve">Qu’est-ce </w:t>
      </w:r>
      <w:r w:rsidR="00A43CBB">
        <w:rPr>
          <w:rFonts w:asciiTheme="minorHAnsi" w:hAnsiTheme="minorHAnsi" w:cs="Arial"/>
          <w:sz w:val="28"/>
          <w:szCs w:val="28"/>
        </w:rPr>
        <w:t>qu’</w:t>
      </w:r>
      <w:r w:rsidRPr="000D1F53">
        <w:rPr>
          <w:rFonts w:asciiTheme="minorHAnsi" w:hAnsiTheme="minorHAnsi" w:cs="Arial"/>
          <w:sz w:val="28"/>
          <w:szCs w:val="28"/>
        </w:rPr>
        <w:t>une combinaison thérapeutique ?</w:t>
      </w:r>
    </w:p>
    <w:p w:rsidR="00727DB1" w:rsidRDefault="00727DB1" w:rsidP="009B3E1E">
      <w:pPr>
        <w:pStyle w:val="NormalWeb"/>
        <w:jc w:val="both"/>
        <w:rPr>
          <w:rFonts w:asciiTheme="minorHAnsi" w:hAnsiTheme="minorHAnsi" w:cs="Arial"/>
          <w:sz w:val="28"/>
          <w:szCs w:val="28"/>
        </w:rPr>
      </w:pPr>
      <w:r w:rsidRPr="000D1F53">
        <w:rPr>
          <w:rFonts w:asciiTheme="minorHAnsi" w:hAnsiTheme="minorHAnsi" w:cs="Arial"/>
          <w:sz w:val="28"/>
          <w:szCs w:val="28"/>
        </w:rPr>
        <w:t>Une combinaison thérapeutique est un traitement qui utilise l’association de plusieurs molécules</w:t>
      </w:r>
      <w:r w:rsidR="00A92B10">
        <w:rPr>
          <w:rFonts w:asciiTheme="minorHAnsi" w:hAnsiTheme="minorHAnsi" w:cs="Arial"/>
          <w:sz w:val="28"/>
          <w:szCs w:val="28"/>
        </w:rPr>
        <w:t xml:space="preserve"> </w:t>
      </w:r>
      <w:r w:rsidR="00137678">
        <w:rPr>
          <w:rFonts w:asciiTheme="minorHAnsi" w:hAnsiTheme="minorHAnsi" w:cs="Arial"/>
          <w:sz w:val="28"/>
          <w:szCs w:val="28"/>
        </w:rPr>
        <w:t>(principes actifs des médicaments)</w:t>
      </w:r>
      <w:r w:rsidRPr="000D1F53">
        <w:rPr>
          <w:rFonts w:asciiTheme="minorHAnsi" w:hAnsiTheme="minorHAnsi" w:cs="Arial"/>
          <w:sz w:val="28"/>
          <w:szCs w:val="28"/>
        </w:rPr>
        <w:t xml:space="preserve"> </w:t>
      </w:r>
      <w:r w:rsidR="00B5660B">
        <w:rPr>
          <w:rFonts w:asciiTheme="minorHAnsi" w:hAnsiTheme="minorHAnsi" w:cs="Arial"/>
          <w:sz w:val="28"/>
          <w:szCs w:val="28"/>
        </w:rPr>
        <w:t>dans</w:t>
      </w:r>
      <w:r w:rsidRPr="000D1F53">
        <w:rPr>
          <w:rFonts w:asciiTheme="minorHAnsi" w:hAnsiTheme="minorHAnsi" w:cs="Arial"/>
          <w:sz w:val="28"/>
          <w:szCs w:val="28"/>
        </w:rPr>
        <w:t xml:space="preserve"> un objectif d’amélioration de </w:t>
      </w:r>
      <w:r w:rsidR="00B5660B">
        <w:rPr>
          <w:rFonts w:asciiTheme="minorHAnsi" w:hAnsiTheme="minorHAnsi" w:cs="Arial"/>
          <w:sz w:val="28"/>
          <w:szCs w:val="28"/>
        </w:rPr>
        <w:t xml:space="preserve">la </w:t>
      </w:r>
      <w:r w:rsidRPr="000D1F53">
        <w:rPr>
          <w:rFonts w:asciiTheme="minorHAnsi" w:hAnsiTheme="minorHAnsi" w:cs="Arial"/>
          <w:sz w:val="28"/>
          <w:szCs w:val="28"/>
        </w:rPr>
        <w:t>santé</w:t>
      </w:r>
      <w:r w:rsidR="00B5660B">
        <w:rPr>
          <w:rFonts w:asciiTheme="minorHAnsi" w:hAnsiTheme="minorHAnsi" w:cs="Arial"/>
          <w:sz w:val="28"/>
          <w:szCs w:val="28"/>
        </w:rPr>
        <w:t xml:space="preserve"> des malades</w:t>
      </w:r>
      <w:r w:rsidRPr="000D1F53">
        <w:rPr>
          <w:rFonts w:asciiTheme="minorHAnsi" w:hAnsiTheme="minorHAnsi" w:cs="Arial"/>
          <w:sz w:val="28"/>
          <w:szCs w:val="28"/>
        </w:rPr>
        <w:t>. La combinaison de l’ivacafto</w:t>
      </w:r>
      <w:r w:rsidR="007E6863">
        <w:rPr>
          <w:rFonts w:asciiTheme="minorHAnsi" w:hAnsiTheme="minorHAnsi" w:cs="Arial"/>
          <w:sz w:val="28"/>
          <w:szCs w:val="28"/>
        </w:rPr>
        <w:t>r et du lumacaftor a été testée, via deux essais cliniques</w:t>
      </w:r>
      <w:r w:rsidR="00AC09EA">
        <w:rPr>
          <w:rFonts w:asciiTheme="minorHAnsi" w:hAnsiTheme="minorHAnsi" w:cs="Arial"/>
          <w:sz w:val="28"/>
          <w:szCs w:val="28"/>
        </w:rPr>
        <w:t xml:space="preserve"> de phase 3</w:t>
      </w:r>
      <w:r w:rsidR="007E6863">
        <w:rPr>
          <w:rFonts w:asciiTheme="minorHAnsi" w:hAnsiTheme="minorHAnsi" w:cs="Arial"/>
          <w:sz w:val="28"/>
          <w:szCs w:val="28"/>
        </w:rPr>
        <w:t xml:space="preserve">, </w:t>
      </w:r>
      <w:r w:rsidRPr="000D1F53">
        <w:rPr>
          <w:rFonts w:asciiTheme="minorHAnsi" w:hAnsiTheme="minorHAnsi" w:cs="Arial"/>
          <w:sz w:val="28"/>
          <w:szCs w:val="28"/>
        </w:rPr>
        <w:t xml:space="preserve">chez les </w:t>
      </w:r>
      <w:r w:rsidR="00137678">
        <w:rPr>
          <w:rFonts w:asciiTheme="minorHAnsi" w:hAnsiTheme="minorHAnsi" w:cs="Arial"/>
          <w:sz w:val="28"/>
          <w:szCs w:val="28"/>
        </w:rPr>
        <w:t>patients</w:t>
      </w:r>
      <w:r w:rsidR="00137678" w:rsidRPr="000D1F53">
        <w:rPr>
          <w:rFonts w:asciiTheme="minorHAnsi" w:hAnsiTheme="minorHAnsi" w:cs="Arial"/>
          <w:sz w:val="28"/>
          <w:szCs w:val="28"/>
        </w:rPr>
        <w:t xml:space="preserve"> </w:t>
      </w:r>
      <w:r w:rsidR="00F832DF">
        <w:rPr>
          <w:rFonts w:asciiTheme="minorHAnsi" w:hAnsiTheme="minorHAnsi" w:cs="Arial"/>
          <w:sz w:val="28"/>
          <w:szCs w:val="28"/>
        </w:rPr>
        <w:t xml:space="preserve">âgés </w:t>
      </w:r>
      <w:r w:rsidR="00B5660B">
        <w:rPr>
          <w:rFonts w:asciiTheme="minorHAnsi" w:hAnsiTheme="minorHAnsi" w:cs="Arial"/>
          <w:sz w:val="28"/>
          <w:szCs w:val="28"/>
        </w:rPr>
        <w:t>de</w:t>
      </w:r>
      <w:r w:rsidR="00683125" w:rsidRPr="000D1F53">
        <w:rPr>
          <w:rFonts w:asciiTheme="minorHAnsi" w:hAnsiTheme="minorHAnsi" w:cs="Arial"/>
          <w:sz w:val="28"/>
          <w:szCs w:val="28"/>
        </w:rPr>
        <w:t xml:space="preserve"> 12 ans</w:t>
      </w:r>
      <w:r w:rsidR="00B5660B">
        <w:rPr>
          <w:rFonts w:asciiTheme="minorHAnsi" w:hAnsiTheme="minorHAnsi" w:cs="Arial"/>
          <w:sz w:val="28"/>
          <w:szCs w:val="28"/>
        </w:rPr>
        <w:t xml:space="preserve"> et plus</w:t>
      </w:r>
      <w:r w:rsidR="00F832DF">
        <w:rPr>
          <w:rFonts w:asciiTheme="minorHAnsi" w:hAnsiTheme="minorHAnsi" w:cs="Arial"/>
          <w:sz w:val="28"/>
          <w:szCs w:val="28"/>
        </w:rPr>
        <w:t xml:space="preserve">, </w:t>
      </w:r>
      <w:r w:rsidR="00454FFF">
        <w:rPr>
          <w:rFonts w:asciiTheme="minorHAnsi" w:hAnsiTheme="minorHAnsi" w:cs="Arial"/>
          <w:sz w:val="28"/>
          <w:szCs w:val="28"/>
        </w:rPr>
        <w:t xml:space="preserve">porteurs de la mutation </w:t>
      </w:r>
      <w:r w:rsidR="00CF6E04">
        <w:rPr>
          <w:rFonts w:asciiTheme="minorHAnsi" w:hAnsiTheme="minorHAnsi" w:cs="Arial"/>
          <w:sz w:val="28"/>
          <w:szCs w:val="28"/>
        </w:rPr>
        <w:t>F508del</w:t>
      </w:r>
      <w:r w:rsidR="00E96DFF">
        <w:rPr>
          <w:rFonts w:asciiTheme="minorHAnsi" w:hAnsiTheme="minorHAnsi" w:cs="Arial"/>
          <w:sz w:val="28"/>
          <w:szCs w:val="28"/>
        </w:rPr>
        <w:t xml:space="preserve"> du gène CFTR</w:t>
      </w:r>
      <w:r w:rsidR="00B5660B">
        <w:rPr>
          <w:rFonts w:asciiTheme="minorHAnsi" w:hAnsiTheme="minorHAnsi" w:cs="Arial"/>
          <w:sz w:val="28"/>
          <w:szCs w:val="28"/>
        </w:rPr>
        <w:t xml:space="preserve"> à l’état homozygote</w:t>
      </w:r>
      <w:r w:rsidR="009B3E1E" w:rsidRPr="000D1F53">
        <w:rPr>
          <w:rFonts w:asciiTheme="minorHAnsi" w:hAnsiTheme="minorHAnsi" w:cs="Arial"/>
          <w:sz w:val="28"/>
          <w:szCs w:val="28"/>
        </w:rPr>
        <w:t>,</w:t>
      </w:r>
      <w:r w:rsidRPr="000D1F53">
        <w:rPr>
          <w:rFonts w:asciiTheme="minorHAnsi" w:hAnsiTheme="minorHAnsi" w:cs="Arial"/>
          <w:sz w:val="28"/>
          <w:szCs w:val="28"/>
        </w:rPr>
        <w:t xml:space="preserve"> </w:t>
      </w:r>
      <w:r w:rsidR="00F832DF">
        <w:rPr>
          <w:rFonts w:asciiTheme="minorHAnsi" w:hAnsiTheme="minorHAnsi" w:cs="Arial"/>
          <w:sz w:val="28"/>
          <w:szCs w:val="28"/>
        </w:rPr>
        <w:t>dans le but d’améliorer</w:t>
      </w:r>
      <w:r w:rsidR="00B5660B">
        <w:rPr>
          <w:rFonts w:asciiTheme="minorHAnsi" w:hAnsiTheme="minorHAnsi" w:cs="Arial"/>
          <w:sz w:val="28"/>
          <w:szCs w:val="28"/>
        </w:rPr>
        <w:t>,</w:t>
      </w:r>
      <w:r w:rsidR="00F832DF">
        <w:rPr>
          <w:rFonts w:asciiTheme="minorHAnsi" w:hAnsiTheme="minorHAnsi" w:cs="Arial"/>
          <w:sz w:val="28"/>
          <w:szCs w:val="28"/>
        </w:rPr>
        <w:t xml:space="preserve"> </w:t>
      </w:r>
      <w:r w:rsidR="00A773C1">
        <w:rPr>
          <w:rFonts w:asciiTheme="minorHAnsi" w:hAnsiTheme="minorHAnsi" w:cs="Arial"/>
          <w:sz w:val="28"/>
          <w:szCs w:val="28"/>
        </w:rPr>
        <w:t xml:space="preserve">en </w:t>
      </w:r>
      <w:r w:rsidR="00B5660B">
        <w:rPr>
          <w:rFonts w:asciiTheme="minorHAnsi" w:hAnsiTheme="minorHAnsi" w:cs="Arial"/>
          <w:sz w:val="28"/>
          <w:szCs w:val="28"/>
        </w:rPr>
        <w:t>particulier</w:t>
      </w:r>
      <w:r w:rsidR="00F832DF">
        <w:rPr>
          <w:rFonts w:asciiTheme="minorHAnsi" w:hAnsiTheme="minorHAnsi" w:cs="Arial"/>
          <w:sz w:val="28"/>
          <w:szCs w:val="28"/>
        </w:rPr>
        <w:t>,</w:t>
      </w:r>
      <w:r w:rsidRPr="000D1F53">
        <w:rPr>
          <w:rFonts w:asciiTheme="minorHAnsi" w:hAnsiTheme="minorHAnsi" w:cs="Arial"/>
          <w:sz w:val="28"/>
          <w:szCs w:val="28"/>
        </w:rPr>
        <w:t xml:space="preserve"> leur fonction respiratoire</w:t>
      </w:r>
      <w:r w:rsidR="009B3E1E" w:rsidRPr="000D1F53">
        <w:rPr>
          <w:rFonts w:asciiTheme="minorHAnsi" w:hAnsiTheme="minorHAnsi" w:cs="Arial"/>
          <w:sz w:val="28"/>
          <w:szCs w:val="28"/>
        </w:rPr>
        <w:t>.</w:t>
      </w:r>
      <w:r w:rsidR="001459F6">
        <w:rPr>
          <w:rFonts w:asciiTheme="minorHAnsi" w:hAnsiTheme="minorHAnsi" w:cs="Arial"/>
          <w:sz w:val="28"/>
          <w:szCs w:val="28"/>
        </w:rPr>
        <w:t xml:space="preserve"> </w:t>
      </w:r>
      <w:r w:rsidR="007E6863">
        <w:rPr>
          <w:rFonts w:asciiTheme="minorHAnsi" w:hAnsiTheme="minorHAnsi" w:cs="Arial"/>
          <w:sz w:val="28"/>
          <w:szCs w:val="28"/>
        </w:rPr>
        <w:t>L</w:t>
      </w:r>
      <w:r w:rsidR="001459F6">
        <w:rPr>
          <w:rFonts w:asciiTheme="minorHAnsi" w:hAnsiTheme="minorHAnsi" w:cs="Arial"/>
          <w:sz w:val="28"/>
          <w:szCs w:val="28"/>
        </w:rPr>
        <w:t>e lab</w:t>
      </w:r>
      <w:r w:rsidR="007E6863">
        <w:rPr>
          <w:rFonts w:asciiTheme="minorHAnsi" w:hAnsiTheme="minorHAnsi" w:cs="Arial"/>
          <w:sz w:val="28"/>
          <w:szCs w:val="28"/>
        </w:rPr>
        <w:t xml:space="preserve">oratoire Vertex Pharmaceuticals </w:t>
      </w:r>
      <w:r w:rsidR="008D0CC1">
        <w:rPr>
          <w:rFonts w:asciiTheme="minorHAnsi" w:hAnsiTheme="minorHAnsi" w:cs="Arial"/>
          <w:sz w:val="28"/>
          <w:szCs w:val="28"/>
        </w:rPr>
        <w:t>a</w:t>
      </w:r>
      <w:r w:rsidR="007E6863">
        <w:rPr>
          <w:rFonts w:asciiTheme="minorHAnsi" w:hAnsiTheme="minorHAnsi" w:cs="Arial"/>
          <w:sz w:val="28"/>
          <w:szCs w:val="28"/>
        </w:rPr>
        <w:t xml:space="preserve"> communiqu</w:t>
      </w:r>
      <w:r w:rsidR="008D0CC1">
        <w:rPr>
          <w:rFonts w:asciiTheme="minorHAnsi" w:hAnsiTheme="minorHAnsi" w:cs="Arial"/>
          <w:sz w:val="28"/>
          <w:szCs w:val="28"/>
        </w:rPr>
        <w:t>é en juin 2014</w:t>
      </w:r>
      <w:r w:rsidR="007E6863">
        <w:rPr>
          <w:rFonts w:asciiTheme="minorHAnsi" w:hAnsiTheme="minorHAnsi" w:cs="Arial"/>
          <w:sz w:val="28"/>
          <w:szCs w:val="28"/>
        </w:rPr>
        <w:t xml:space="preserve"> les premiers résultats de ces deux essais.</w:t>
      </w:r>
    </w:p>
    <w:p w:rsidR="00837781" w:rsidRDefault="00837781" w:rsidP="00837781">
      <w:pPr>
        <w:pStyle w:val="Titre1"/>
        <w:numPr>
          <w:ilvl w:val="0"/>
          <w:numId w:val="1"/>
        </w:numPr>
        <w:rPr>
          <w:rFonts w:asciiTheme="minorHAnsi" w:hAnsiTheme="minorHAnsi" w:cs="Arial"/>
          <w:sz w:val="28"/>
          <w:szCs w:val="28"/>
        </w:rPr>
      </w:pPr>
      <w:r>
        <w:rPr>
          <w:rFonts w:asciiTheme="minorHAnsi" w:hAnsiTheme="minorHAnsi" w:cs="Arial"/>
          <w:sz w:val="28"/>
          <w:szCs w:val="28"/>
        </w:rPr>
        <w:t>Que signifie être homozygote/hétérozygote </w:t>
      </w:r>
      <w:r w:rsidR="007D1893">
        <w:rPr>
          <w:rFonts w:asciiTheme="minorHAnsi" w:hAnsiTheme="minorHAnsi" w:cs="Arial"/>
          <w:sz w:val="28"/>
          <w:szCs w:val="28"/>
        </w:rPr>
        <w:t xml:space="preserve">pour un </w:t>
      </w:r>
      <w:r w:rsidR="005F6393">
        <w:rPr>
          <w:rFonts w:asciiTheme="minorHAnsi" w:hAnsiTheme="minorHAnsi" w:cs="Arial"/>
          <w:sz w:val="28"/>
          <w:szCs w:val="28"/>
        </w:rPr>
        <w:t>gène</w:t>
      </w:r>
      <w:r w:rsidR="007D1893">
        <w:rPr>
          <w:rFonts w:asciiTheme="minorHAnsi" w:hAnsiTheme="minorHAnsi" w:cs="Arial"/>
          <w:sz w:val="28"/>
          <w:szCs w:val="28"/>
        </w:rPr>
        <w:t xml:space="preserve"> </w:t>
      </w:r>
      <w:r>
        <w:rPr>
          <w:rFonts w:asciiTheme="minorHAnsi" w:hAnsiTheme="minorHAnsi" w:cs="Arial"/>
          <w:sz w:val="28"/>
          <w:szCs w:val="28"/>
        </w:rPr>
        <w:t xml:space="preserve">? </w:t>
      </w:r>
    </w:p>
    <w:p w:rsidR="00837781" w:rsidRPr="00837781" w:rsidRDefault="00837781" w:rsidP="00837781">
      <w:pPr>
        <w:pStyle w:val="Titre1"/>
        <w:jc w:val="both"/>
        <w:rPr>
          <w:rFonts w:asciiTheme="minorHAnsi" w:hAnsiTheme="minorHAnsi" w:cs="Arial"/>
          <w:b w:val="0"/>
          <w:bCs w:val="0"/>
          <w:kern w:val="0"/>
          <w:sz w:val="28"/>
          <w:szCs w:val="28"/>
        </w:rPr>
      </w:pPr>
      <w:r w:rsidRPr="00A71598">
        <w:rPr>
          <w:rFonts w:asciiTheme="minorHAnsi" w:hAnsiTheme="minorHAnsi" w:cs="Arial"/>
          <w:b w:val="0"/>
          <w:bCs w:val="0"/>
          <w:kern w:val="0"/>
          <w:sz w:val="28"/>
          <w:szCs w:val="28"/>
        </w:rPr>
        <w:t xml:space="preserve">Chaque </w:t>
      </w:r>
      <w:hyperlink r:id="rId9" w:tooltip="Gène" w:history="1">
        <w:r w:rsidRPr="00A71598">
          <w:rPr>
            <w:rFonts w:asciiTheme="minorHAnsi" w:hAnsiTheme="minorHAnsi" w:cs="Arial"/>
            <w:b w:val="0"/>
            <w:bCs w:val="0"/>
            <w:kern w:val="0"/>
            <w:sz w:val="28"/>
            <w:szCs w:val="28"/>
          </w:rPr>
          <w:t>gène</w:t>
        </w:r>
      </w:hyperlink>
      <w:r w:rsidRPr="00A71598">
        <w:rPr>
          <w:rFonts w:asciiTheme="minorHAnsi" w:hAnsiTheme="minorHAnsi" w:cs="Arial"/>
          <w:b w:val="0"/>
          <w:bCs w:val="0"/>
          <w:kern w:val="0"/>
          <w:sz w:val="28"/>
          <w:szCs w:val="28"/>
        </w:rPr>
        <w:t xml:space="preserve"> existe</w:t>
      </w:r>
      <w:r>
        <w:rPr>
          <w:rFonts w:asciiTheme="minorHAnsi" w:hAnsiTheme="minorHAnsi" w:cs="Arial"/>
          <w:b w:val="0"/>
          <w:bCs w:val="0"/>
          <w:kern w:val="0"/>
          <w:sz w:val="28"/>
          <w:szCs w:val="28"/>
        </w:rPr>
        <w:t xml:space="preserve"> en deux exemplaires ou copies :</w:t>
      </w:r>
      <w:r w:rsidRPr="00837781">
        <w:rPr>
          <w:rFonts w:asciiTheme="minorHAnsi" w:hAnsiTheme="minorHAnsi" w:cs="Arial"/>
          <w:b w:val="0"/>
          <w:bCs w:val="0"/>
          <w:kern w:val="0"/>
          <w:sz w:val="28"/>
          <w:szCs w:val="28"/>
        </w:rPr>
        <w:t xml:space="preserve"> l'un</w:t>
      </w:r>
      <w:r w:rsidR="005F6393">
        <w:rPr>
          <w:rFonts w:asciiTheme="minorHAnsi" w:hAnsiTheme="minorHAnsi" w:cs="Arial"/>
          <w:b w:val="0"/>
          <w:bCs w:val="0"/>
          <w:kern w:val="0"/>
          <w:sz w:val="28"/>
          <w:szCs w:val="28"/>
        </w:rPr>
        <w:t>e</w:t>
      </w:r>
      <w:r w:rsidRPr="00837781">
        <w:rPr>
          <w:rFonts w:asciiTheme="minorHAnsi" w:hAnsiTheme="minorHAnsi" w:cs="Arial"/>
          <w:b w:val="0"/>
          <w:bCs w:val="0"/>
          <w:kern w:val="0"/>
          <w:sz w:val="28"/>
          <w:szCs w:val="28"/>
        </w:rPr>
        <w:t xml:space="preserve"> hérité</w:t>
      </w:r>
      <w:r w:rsidR="005F6393">
        <w:rPr>
          <w:rFonts w:asciiTheme="minorHAnsi" w:hAnsiTheme="minorHAnsi" w:cs="Arial"/>
          <w:b w:val="0"/>
          <w:bCs w:val="0"/>
          <w:kern w:val="0"/>
          <w:sz w:val="28"/>
          <w:szCs w:val="28"/>
        </w:rPr>
        <w:t>e</w:t>
      </w:r>
      <w:r w:rsidRPr="00837781">
        <w:rPr>
          <w:rFonts w:asciiTheme="minorHAnsi" w:hAnsiTheme="minorHAnsi" w:cs="Arial"/>
          <w:b w:val="0"/>
          <w:bCs w:val="0"/>
          <w:kern w:val="0"/>
          <w:sz w:val="28"/>
          <w:szCs w:val="28"/>
        </w:rPr>
        <w:t xml:space="preserve"> du père, et l'autre de la mère</w:t>
      </w:r>
      <w:r>
        <w:rPr>
          <w:rFonts w:asciiTheme="minorHAnsi" w:hAnsiTheme="minorHAnsi" w:cs="Arial"/>
          <w:b w:val="0"/>
          <w:bCs w:val="0"/>
          <w:kern w:val="0"/>
          <w:sz w:val="28"/>
          <w:szCs w:val="28"/>
        </w:rPr>
        <w:t xml:space="preserve">. Si les deux copies sont identiques, on dit qu’on est homozygote pour ce gène ; si elles sont différentes, on est hétérozygote pour ce gène. Dans le cas de la mucoviscidose, les deux copies du gène CFTR sont mutées. Si les deux copies présentent la même mutation, par exemple </w:t>
      </w:r>
      <w:r w:rsidR="00CF6E04">
        <w:rPr>
          <w:rFonts w:asciiTheme="minorHAnsi" w:hAnsiTheme="minorHAnsi" w:cs="Arial"/>
          <w:b w:val="0"/>
          <w:bCs w:val="0"/>
          <w:kern w:val="0"/>
          <w:sz w:val="28"/>
          <w:szCs w:val="28"/>
        </w:rPr>
        <w:t>F508del</w:t>
      </w:r>
      <w:r>
        <w:rPr>
          <w:rFonts w:asciiTheme="minorHAnsi" w:hAnsiTheme="minorHAnsi" w:cs="Arial"/>
          <w:b w:val="0"/>
          <w:bCs w:val="0"/>
          <w:kern w:val="0"/>
          <w:sz w:val="28"/>
          <w:szCs w:val="28"/>
        </w:rPr>
        <w:t xml:space="preserve">, on dit que la personne est </w:t>
      </w:r>
      <w:r w:rsidR="007D1893">
        <w:rPr>
          <w:rFonts w:asciiTheme="minorHAnsi" w:hAnsiTheme="minorHAnsi" w:cs="Arial"/>
          <w:b w:val="0"/>
          <w:bCs w:val="0"/>
          <w:kern w:val="0"/>
          <w:sz w:val="28"/>
          <w:szCs w:val="28"/>
        </w:rPr>
        <w:t>« </w:t>
      </w:r>
      <w:r>
        <w:rPr>
          <w:rFonts w:asciiTheme="minorHAnsi" w:hAnsiTheme="minorHAnsi" w:cs="Arial"/>
          <w:b w:val="0"/>
          <w:bCs w:val="0"/>
          <w:kern w:val="0"/>
          <w:sz w:val="28"/>
          <w:szCs w:val="28"/>
        </w:rPr>
        <w:t xml:space="preserve">homozygote </w:t>
      </w:r>
      <w:r w:rsidR="00CF6E04">
        <w:rPr>
          <w:rFonts w:asciiTheme="minorHAnsi" w:hAnsiTheme="minorHAnsi" w:cs="Arial"/>
          <w:b w:val="0"/>
          <w:bCs w:val="0"/>
          <w:kern w:val="0"/>
          <w:sz w:val="28"/>
          <w:szCs w:val="28"/>
        </w:rPr>
        <w:t>F508del</w:t>
      </w:r>
      <w:r w:rsidR="007D1893">
        <w:rPr>
          <w:rFonts w:asciiTheme="minorHAnsi" w:hAnsiTheme="minorHAnsi" w:cs="Arial"/>
          <w:b w:val="0"/>
          <w:bCs w:val="0"/>
          <w:kern w:val="0"/>
          <w:sz w:val="28"/>
          <w:szCs w:val="28"/>
        </w:rPr>
        <w:t> » pour CFTR</w:t>
      </w:r>
      <w:r>
        <w:rPr>
          <w:rFonts w:asciiTheme="minorHAnsi" w:hAnsiTheme="minorHAnsi" w:cs="Arial"/>
          <w:b w:val="0"/>
          <w:bCs w:val="0"/>
          <w:kern w:val="0"/>
          <w:sz w:val="28"/>
          <w:szCs w:val="28"/>
        </w:rPr>
        <w:t>. Si les deux copies sont différentes (</w:t>
      </w:r>
      <w:r w:rsidR="00CF6E04">
        <w:rPr>
          <w:rFonts w:asciiTheme="minorHAnsi" w:hAnsiTheme="minorHAnsi" w:cs="Arial"/>
          <w:b w:val="0"/>
          <w:bCs w:val="0"/>
          <w:kern w:val="0"/>
          <w:sz w:val="28"/>
          <w:szCs w:val="28"/>
        </w:rPr>
        <w:t>F508del</w:t>
      </w:r>
      <w:r>
        <w:rPr>
          <w:rFonts w:asciiTheme="minorHAnsi" w:hAnsiTheme="minorHAnsi" w:cs="Arial"/>
          <w:b w:val="0"/>
          <w:bCs w:val="0"/>
          <w:kern w:val="0"/>
          <w:sz w:val="28"/>
          <w:szCs w:val="28"/>
        </w:rPr>
        <w:t xml:space="preserve"> + une autre mutation), la personne est </w:t>
      </w:r>
      <w:r w:rsidR="007D1893">
        <w:rPr>
          <w:rFonts w:asciiTheme="minorHAnsi" w:hAnsiTheme="minorHAnsi" w:cs="Arial"/>
          <w:b w:val="0"/>
          <w:bCs w:val="0"/>
          <w:kern w:val="0"/>
          <w:sz w:val="28"/>
          <w:szCs w:val="28"/>
        </w:rPr>
        <w:t>« </w:t>
      </w:r>
      <w:r>
        <w:rPr>
          <w:rFonts w:asciiTheme="minorHAnsi" w:hAnsiTheme="minorHAnsi" w:cs="Arial"/>
          <w:b w:val="0"/>
          <w:bCs w:val="0"/>
          <w:kern w:val="0"/>
          <w:sz w:val="28"/>
          <w:szCs w:val="28"/>
        </w:rPr>
        <w:t xml:space="preserve">hétérozygote </w:t>
      </w:r>
      <w:r w:rsidR="00CF6E04">
        <w:rPr>
          <w:rFonts w:asciiTheme="minorHAnsi" w:hAnsiTheme="minorHAnsi" w:cs="Arial"/>
          <w:b w:val="0"/>
          <w:bCs w:val="0"/>
          <w:kern w:val="0"/>
          <w:sz w:val="28"/>
          <w:szCs w:val="28"/>
        </w:rPr>
        <w:t>F508del</w:t>
      </w:r>
      <w:r w:rsidR="007D1893">
        <w:rPr>
          <w:rFonts w:asciiTheme="minorHAnsi" w:hAnsiTheme="minorHAnsi" w:cs="Arial"/>
          <w:b w:val="0"/>
          <w:bCs w:val="0"/>
          <w:kern w:val="0"/>
          <w:sz w:val="28"/>
          <w:szCs w:val="28"/>
        </w:rPr>
        <w:t> », pour CFTR</w:t>
      </w:r>
      <w:r>
        <w:rPr>
          <w:rFonts w:asciiTheme="minorHAnsi" w:hAnsiTheme="minorHAnsi" w:cs="Arial"/>
          <w:b w:val="0"/>
          <w:bCs w:val="0"/>
          <w:kern w:val="0"/>
          <w:sz w:val="28"/>
          <w:szCs w:val="28"/>
        </w:rPr>
        <w:t>.</w:t>
      </w:r>
    </w:p>
    <w:p w:rsidR="00D20EE7" w:rsidRPr="00837781" w:rsidRDefault="00D20EE7" w:rsidP="00837781">
      <w:pPr>
        <w:pStyle w:val="Titre1"/>
        <w:numPr>
          <w:ilvl w:val="0"/>
          <w:numId w:val="1"/>
        </w:numPr>
        <w:rPr>
          <w:rFonts w:asciiTheme="minorHAnsi" w:hAnsiTheme="minorHAnsi" w:cs="Arial"/>
          <w:sz w:val="28"/>
          <w:szCs w:val="28"/>
        </w:rPr>
      </w:pPr>
      <w:r w:rsidRPr="00837781">
        <w:rPr>
          <w:rFonts w:asciiTheme="minorHAnsi" w:hAnsiTheme="minorHAnsi" w:cs="Arial"/>
          <w:sz w:val="28"/>
          <w:szCs w:val="28"/>
        </w:rPr>
        <w:t xml:space="preserve">Qu’est-ce </w:t>
      </w:r>
      <w:r w:rsidR="002628CD" w:rsidRPr="00837781">
        <w:rPr>
          <w:rFonts w:asciiTheme="minorHAnsi" w:hAnsiTheme="minorHAnsi" w:cs="Arial"/>
          <w:sz w:val="28"/>
          <w:szCs w:val="28"/>
        </w:rPr>
        <w:t>que l’</w:t>
      </w:r>
      <w:r w:rsidRPr="00837781">
        <w:rPr>
          <w:rFonts w:asciiTheme="minorHAnsi" w:hAnsiTheme="minorHAnsi" w:cs="Arial"/>
          <w:sz w:val="28"/>
          <w:szCs w:val="28"/>
        </w:rPr>
        <w:t>ivacaftor ?</w:t>
      </w:r>
    </w:p>
    <w:p w:rsidR="00727DB1" w:rsidRPr="000D1F53" w:rsidRDefault="00454FFF" w:rsidP="00A92B10">
      <w:pPr>
        <w:pStyle w:val="NormalWeb"/>
        <w:spacing w:before="0" w:beforeAutospacing="0" w:after="0" w:afterAutospacing="0"/>
        <w:jc w:val="both"/>
        <w:rPr>
          <w:rFonts w:asciiTheme="minorHAnsi" w:hAnsiTheme="minorHAnsi" w:cs="Arial"/>
          <w:sz w:val="28"/>
          <w:szCs w:val="28"/>
        </w:rPr>
      </w:pPr>
      <w:proofErr w:type="spellStart"/>
      <w:r>
        <w:rPr>
          <w:rFonts w:asciiTheme="minorHAnsi" w:hAnsiTheme="minorHAnsi" w:cs="Arial"/>
          <w:iCs/>
          <w:sz w:val="28"/>
          <w:szCs w:val="28"/>
        </w:rPr>
        <w:t>I</w:t>
      </w:r>
      <w:r w:rsidR="00683125" w:rsidRPr="000D1F53">
        <w:rPr>
          <w:rFonts w:asciiTheme="minorHAnsi" w:hAnsiTheme="minorHAnsi" w:cs="Arial"/>
          <w:iCs/>
          <w:sz w:val="28"/>
          <w:szCs w:val="28"/>
        </w:rPr>
        <w:t>vacaftor</w:t>
      </w:r>
      <w:proofErr w:type="spellEnd"/>
      <w:r w:rsidR="00683125" w:rsidRPr="000D1F53">
        <w:rPr>
          <w:rFonts w:asciiTheme="minorHAnsi" w:hAnsiTheme="minorHAnsi" w:cs="Arial"/>
          <w:iCs/>
          <w:sz w:val="28"/>
          <w:szCs w:val="28"/>
        </w:rPr>
        <w:t xml:space="preserve"> est une molécule qui a prouvé son efficacité en tant qu’</w:t>
      </w:r>
      <w:r w:rsidR="00727DB1" w:rsidRPr="000D1F53">
        <w:rPr>
          <w:rFonts w:asciiTheme="minorHAnsi" w:hAnsiTheme="minorHAnsi" w:cs="Arial"/>
          <w:iCs/>
          <w:sz w:val="28"/>
          <w:szCs w:val="28"/>
        </w:rPr>
        <w:t>activateur</w:t>
      </w:r>
      <w:r w:rsidR="00683125" w:rsidRPr="000D1F53">
        <w:rPr>
          <w:rFonts w:asciiTheme="minorHAnsi" w:hAnsiTheme="minorHAnsi" w:cs="Arial"/>
          <w:iCs/>
          <w:sz w:val="28"/>
          <w:szCs w:val="28"/>
        </w:rPr>
        <w:t xml:space="preserve"> (ou </w:t>
      </w:r>
      <w:r w:rsidR="003D519F">
        <w:rPr>
          <w:rFonts w:asciiTheme="minorHAnsi" w:hAnsiTheme="minorHAnsi" w:cs="Arial"/>
          <w:iCs/>
          <w:sz w:val="28"/>
          <w:szCs w:val="28"/>
        </w:rPr>
        <w:t>« </w:t>
      </w:r>
      <w:proofErr w:type="spellStart"/>
      <w:r w:rsidR="00683125" w:rsidRPr="000D1F53">
        <w:rPr>
          <w:rFonts w:asciiTheme="minorHAnsi" w:hAnsiTheme="minorHAnsi" w:cs="Arial"/>
          <w:iCs/>
          <w:sz w:val="28"/>
          <w:szCs w:val="28"/>
        </w:rPr>
        <w:t>potentiateur</w:t>
      </w:r>
      <w:proofErr w:type="spellEnd"/>
      <w:r w:rsidR="003D519F">
        <w:rPr>
          <w:rFonts w:asciiTheme="minorHAnsi" w:hAnsiTheme="minorHAnsi" w:cs="Arial"/>
          <w:iCs/>
          <w:sz w:val="28"/>
          <w:szCs w:val="28"/>
        </w:rPr>
        <w:t> »</w:t>
      </w:r>
      <w:r w:rsidR="00683125" w:rsidRPr="000D1F53">
        <w:rPr>
          <w:rFonts w:asciiTheme="minorHAnsi" w:hAnsiTheme="minorHAnsi" w:cs="Arial"/>
          <w:iCs/>
          <w:sz w:val="28"/>
          <w:szCs w:val="28"/>
        </w:rPr>
        <w:t>) de la protéine CFTR</w:t>
      </w:r>
      <w:r w:rsidR="00514E20">
        <w:rPr>
          <w:rFonts w:asciiTheme="minorHAnsi" w:hAnsiTheme="minorHAnsi" w:cs="Arial"/>
          <w:iCs/>
          <w:sz w:val="28"/>
          <w:szCs w:val="28"/>
        </w:rPr>
        <w:t xml:space="preserve"> mutée</w:t>
      </w:r>
      <w:r w:rsidR="003928E7">
        <w:rPr>
          <w:rFonts w:asciiTheme="minorHAnsi" w:hAnsiTheme="minorHAnsi" w:cs="Arial"/>
          <w:iCs/>
          <w:sz w:val="28"/>
          <w:szCs w:val="28"/>
        </w:rPr>
        <w:t>. C</w:t>
      </w:r>
      <w:r w:rsidR="00137678">
        <w:rPr>
          <w:rFonts w:asciiTheme="minorHAnsi" w:hAnsiTheme="minorHAnsi" w:cs="Arial"/>
          <w:iCs/>
          <w:sz w:val="28"/>
          <w:szCs w:val="28"/>
        </w:rPr>
        <w:t xml:space="preserve">’est-à-dire </w:t>
      </w:r>
      <w:r w:rsidR="003928E7">
        <w:rPr>
          <w:rFonts w:asciiTheme="minorHAnsi" w:hAnsiTheme="minorHAnsi" w:cs="Arial"/>
          <w:iCs/>
          <w:sz w:val="28"/>
          <w:szCs w:val="28"/>
        </w:rPr>
        <w:t xml:space="preserve">qu’il </w:t>
      </w:r>
      <w:r w:rsidR="00137678">
        <w:rPr>
          <w:rFonts w:asciiTheme="minorHAnsi" w:hAnsiTheme="minorHAnsi" w:cs="Arial"/>
          <w:iCs/>
          <w:sz w:val="28"/>
          <w:szCs w:val="28"/>
        </w:rPr>
        <w:t xml:space="preserve">permet à </w:t>
      </w:r>
      <w:r w:rsidR="007E6863">
        <w:rPr>
          <w:rFonts w:asciiTheme="minorHAnsi" w:hAnsiTheme="minorHAnsi" w:cs="Arial"/>
          <w:iCs/>
          <w:sz w:val="28"/>
          <w:szCs w:val="28"/>
        </w:rPr>
        <w:t>cette</w:t>
      </w:r>
      <w:r w:rsidR="00137678">
        <w:rPr>
          <w:rFonts w:asciiTheme="minorHAnsi" w:hAnsiTheme="minorHAnsi" w:cs="Arial"/>
          <w:iCs/>
          <w:sz w:val="28"/>
          <w:szCs w:val="28"/>
        </w:rPr>
        <w:t xml:space="preserve"> protéine</w:t>
      </w:r>
      <w:r w:rsidR="007E6863">
        <w:rPr>
          <w:rFonts w:asciiTheme="minorHAnsi" w:hAnsiTheme="minorHAnsi" w:cs="Arial"/>
          <w:iCs/>
          <w:sz w:val="28"/>
          <w:szCs w:val="28"/>
        </w:rPr>
        <w:t>,</w:t>
      </w:r>
      <w:r w:rsidR="00137678">
        <w:rPr>
          <w:rFonts w:asciiTheme="minorHAnsi" w:hAnsiTheme="minorHAnsi" w:cs="Arial"/>
          <w:iCs/>
          <w:sz w:val="28"/>
          <w:szCs w:val="28"/>
        </w:rPr>
        <w:t xml:space="preserve"> qui sert de canal-chlore</w:t>
      </w:r>
      <w:r w:rsidR="007E6863">
        <w:rPr>
          <w:rFonts w:asciiTheme="minorHAnsi" w:hAnsiTheme="minorHAnsi" w:cs="Arial"/>
          <w:iCs/>
          <w:sz w:val="28"/>
          <w:szCs w:val="28"/>
        </w:rPr>
        <w:t>,</w:t>
      </w:r>
      <w:r w:rsidR="00137678">
        <w:rPr>
          <w:rFonts w:asciiTheme="minorHAnsi" w:hAnsiTheme="minorHAnsi" w:cs="Arial"/>
          <w:iCs/>
          <w:sz w:val="28"/>
          <w:szCs w:val="28"/>
        </w:rPr>
        <w:t xml:space="preserve"> de mieux fonctionner </w:t>
      </w:r>
      <w:r w:rsidR="00683125" w:rsidRPr="000D1F53">
        <w:rPr>
          <w:rFonts w:asciiTheme="minorHAnsi" w:hAnsiTheme="minorHAnsi" w:cs="Arial"/>
          <w:iCs/>
          <w:sz w:val="28"/>
          <w:szCs w:val="28"/>
        </w:rPr>
        <w:t xml:space="preserve">chez les personnes malades ayant une mutation </w:t>
      </w:r>
      <w:r w:rsidR="00E96DFF">
        <w:rPr>
          <w:rFonts w:asciiTheme="minorHAnsi" w:hAnsiTheme="minorHAnsi" w:cs="Arial"/>
          <w:sz w:val="28"/>
          <w:szCs w:val="28"/>
        </w:rPr>
        <w:t>« gating</w:t>
      </w:r>
      <w:r w:rsidR="00E96DFF">
        <w:rPr>
          <w:rStyle w:val="Appelnotedebasdep"/>
          <w:rFonts w:asciiTheme="minorHAnsi" w:hAnsiTheme="minorHAnsi" w:cs="Arial"/>
          <w:sz w:val="28"/>
          <w:szCs w:val="28"/>
        </w:rPr>
        <w:footnoteReference w:id="1"/>
      </w:r>
      <w:r w:rsidR="004B3B77">
        <w:rPr>
          <w:rFonts w:asciiTheme="minorHAnsi" w:hAnsiTheme="minorHAnsi" w:cs="Arial"/>
          <w:sz w:val="28"/>
          <w:szCs w:val="28"/>
        </w:rPr>
        <w:t> »</w:t>
      </w:r>
      <w:r w:rsidR="00E96DFF">
        <w:rPr>
          <w:rFonts w:asciiTheme="minorHAnsi" w:hAnsiTheme="minorHAnsi" w:cs="Arial"/>
          <w:sz w:val="28"/>
          <w:szCs w:val="28"/>
        </w:rPr>
        <w:t xml:space="preserve"> (mutation de classe III).</w:t>
      </w:r>
      <w:r w:rsidR="00683125" w:rsidRPr="000D1F53">
        <w:rPr>
          <w:rFonts w:asciiTheme="minorHAnsi" w:hAnsiTheme="minorHAnsi" w:cs="Arial"/>
          <w:iCs/>
          <w:sz w:val="28"/>
          <w:szCs w:val="28"/>
        </w:rPr>
        <w:t xml:space="preserve"> </w:t>
      </w:r>
      <w:r w:rsidR="00B5660B">
        <w:rPr>
          <w:rFonts w:asciiTheme="minorHAnsi" w:hAnsiTheme="minorHAnsi" w:cs="Arial"/>
          <w:iCs/>
          <w:sz w:val="28"/>
          <w:szCs w:val="28"/>
        </w:rPr>
        <w:t>L’</w:t>
      </w:r>
      <w:proofErr w:type="spellStart"/>
      <w:r w:rsidR="00B5660B">
        <w:rPr>
          <w:rFonts w:asciiTheme="minorHAnsi" w:hAnsiTheme="minorHAnsi" w:cs="Arial"/>
          <w:iCs/>
          <w:sz w:val="28"/>
          <w:szCs w:val="28"/>
        </w:rPr>
        <w:t>ivacaftor</w:t>
      </w:r>
      <w:proofErr w:type="spellEnd"/>
      <w:r w:rsidR="00B5660B" w:rsidRPr="000D1F53">
        <w:rPr>
          <w:rFonts w:asciiTheme="minorHAnsi" w:hAnsiTheme="minorHAnsi" w:cs="Arial"/>
          <w:iCs/>
          <w:sz w:val="28"/>
          <w:szCs w:val="28"/>
        </w:rPr>
        <w:t xml:space="preserve"> permet d’améliorer la fonction de la protéine CFTR </w:t>
      </w:r>
      <w:r w:rsidR="00B5660B">
        <w:rPr>
          <w:rFonts w:asciiTheme="minorHAnsi" w:hAnsiTheme="minorHAnsi" w:cs="Arial"/>
          <w:iCs/>
          <w:sz w:val="28"/>
          <w:szCs w:val="28"/>
        </w:rPr>
        <w:t xml:space="preserve">anormale </w:t>
      </w:r>
      <w:r w:rsidR="00B5660B" w:rsidRPr="000D1F53">
        <w:rPr>
          <w:rFonts w:asciiTheme="minorHAnsi" w:hAnsiTheme="minorHAnsi" w:cs="Arial"/>
          <w:iCs/>
          <w:sz w:val="28"/>
          <w:szCs w:val="28"/>
        </w:rPr>
        <w:t xml:space="preserve">présente à la </w:t>
      </w:r>
      <w:r w:rsidR="00B5660B" w:rsidRPr="000D1F53">
        <w:rPr>
          <w:rFonts w:asciiTheme="minorHAnsi" w:hAnsiTheme="minorHAnsi" w:cs="Arial"/>
          <w:iCs/>
          <w:sz w:val="28"/>
          <w:szCs w:val="28"/>
        </w:rPr>
        <w:lastRenderedPageBreak/>
        <w:t>surface des cellules</w:t>
      </w:r>
      <w:r w:rsidR="00B5660B" w:rsidRPr="000D1F53">
        <w:rPr>
          <w:rFonts w:asciiTheme="minorHAnsi" w:hAnsiTheme="minorHAnsi" w:cs="Arial"/>
          <w:sz w:val="28"/>
          <w:szCs w:val="28"/>
        </w:rPr>
        <w:t>. L’efficacité d</w:t>
      </w:r>
      <w:r w:rsidR="00B5660B">
        <w:rPr>
          <w:rFonts w:asciiTheme="minorHAnsi" w:hAnsiTheme="minorHAnsi" w:cs="Arial"/>
          <w:sz w:val="28"/>
          <w:szCs w:val="28"/>
        </w:rPr>
        <w:t>’</w:t>
      </w:r>
      <w:proofErr w:type="spellStart"/>
      <w:r w:rsidR="00B5660B">
        <w:rPr>
          <w:rFonts w:asciiTheme="minorHAnsi" w:hAnsiTheme="minorHAnsi" w:cs="Arial"/>
          <w:sz w:val="28"/>
          <w:szCs w:val="28"/>
        </w:rPr>
        <w:t>ivacafto</w:t>
      </w:r>
      <w:r w:rsidR="00B5660B" w:rsidRPr="000D1F53">
        <w:rPr>
          <w:rFonts w:asciiTheme="minorHAnsi" w:hAnsiTheme="minorHAnsi" w:cs="Arial"/>
          <w:sz w:val="28"/>
          <w:szCs w:val="28"/>
        </w:rPr>
        <w:t>r</w:t>
      </w:r>
      <w:proofErr w:type="spellEnd"/>
      <w:r w:rsidR="00B5660B" w:rsidRPr="000D1F53">
        <w:rPr>
          <w:rFonts w:asciiTheme="minorHAnsi" w:hAnsiTheme="minorHAnsi" w:cs="Arial"/>
          <w:sz w:val="28"/>
          <w:szCs w:val="28"/>
        </w:rPr>
        <w:t xml:space="preserve"> </w:t>
      </w:r>
      <w:r w:rsidR="00B5660B">
        <w:rPr>
          <w:rFonts w:asciiTheme="minorHAnsi" w:hAnsiTheme="minorHAnsi" w:cs="Arial"/>
          <w:sz w:val="28"/>
          <w:szCs w:val="28"/>
        </w:rPr>
        <w:t>dépend</w:t>
      </w:r>
      <w:r w:rsidR="00B5660B" w:rsidRPr="000D1F53">
        <w:rPr>
          <w:rFonts w:asciiTheme="minorHAnsi" w:hAnsiTheme="minorHAnsi" w:cs="Arial"/>
          <w:sz w:val="28"/>
          <w:szCs w:val="28"/>
        </w:rPr>
        <w:t xml:space="preserve"> de la prés</w:t>
      </w:r>
      <w:r w:rsidR="00B5660B">
        <w:rPr>
          <w:rFonts w:asciiTheme="minorHAnsi" w:hAnsiTheme="minorHAnsi" w:cs="Arial"/>
          <w:sz w:val="28"/>
          <w:szCs w:val="28"/>
        </w:rPr>
        <w:t>ence</w:t>
      </w:r>
      <w:r w:rsidR="00B5660B" w:rsidRPr="000D1F53">
        <w:rPr>
          <w:rFonts w:asciiTheme="minorHAnsi" w:hAnsiTheme="minorHAnsi" w:cs="Arial"/>
          <w:sz w:val="28"/>
          <w:szCs w:val="28"/>
        </w:rPr>
        <w:t xml:space="preserve"> de la protéine CFTR </w:t>
      </w:r>
      <w:r w:rsidR="00B5660B">
        <w:rPr>
          <w:rFonts w:asciiTheme="minorHAnsi" w:hAnsiTheme="minorHAnsi" w:cs="Arial"/>
          <w:sz w:val="28"/>
          <w:szCs w:val="28"/>
        </w:rPr>
        <w:t xml:space="preserve">mutée </w:t>
      </w:r>
      <w:r w:rsidR="00B5660B" w:rsidRPr="000D1F53">
        <w:rPr>
          <w:rFonts w:asciiTheme="minorHAnsi" w:hAnsiTheme="minorHAnsi" w:cs="Arial"/>
          <w:sz w:val="28"/>
          <w:szCs w:val="28"/>
        </w:rPr>
        <w:t xml:space="preserve">à la surface des cellules. Pour cette raison, il ne peut pas être efficace </w:t>
      </w:r>
      <w:r w:rsidR="00B5660B">
        <w:rPr>
          <w:rFonts w:asciiTheme="minorHAnsi" w:hAnsiTheme="minorHAnsi" w:cs="Arial"/>
          <w:sz w:val="28"/>
          <w:szCs w:val="28"/>
        </w:rPr>
        <w:t xml:space="preserve">s’il est administré </w:t>
      </w:r>
      <w:r w:rsidR="00B5660B" w:rsidRPr="000D1F53">
        <w:rPr>
          <w:rFonts w:asciiTheme="minorHAnsi" w:hAnsiTheme="minorHAnsi" w:cs="Arial"/>
          <w:sz w:val="28"/>
          <w:szCs w:val="28"/>
        </w:rPr>
        <w:t xml:space="preserve">seul chez les malades qui présentent des mutations impliquant des défauts de </w:t>
      </w:r>
      <w:r w:rsidR="00B5660B">
        <w:rPr>
          <w:rFonts w:asciiTheme="minorHAnsi" w:hAnsiTheme="minorHAnsi" w:cs="Arial"/>
          <w:sz w:val="28"/>
          <w:szCs w:val="28"/>
        </w:rPr>
        <w:t>fabrication</w:t>
      </w:r>
      <w:r w:rsidR="00B5660B" w:rsidRPr="000D1F53">
        <w:rPr>
          <w:rFonts w:asciiTheme="minorHAnsi" w:hAnsiTheme="minorHAnsi" w:cs="Arial"/>
          <w:sz w:val="28"/>
          <w:szCs w:val="28"/>
        </w:rPr>
        <w:t xml:space="preserve"> ou de transport de la protéine à la membrane</w:t>
      </w:r>
      <w:r w:rsidR="00B5660B">
        <w:rPr>
          <w:rFonts w:asciiTheme="minorHAnsi" w:hAnsiTheme="minorHAnsi" w:cs="Arial"/>
          <w:sz w:val="28"/>
          <w:szCs w:val="28"/>
        </w:rPr>
        <w:t xml:space="preserve"> (mutations classe I ou II)</w:t>
      </w:r>
      <w:r w:rsidR="00B5660B" w:rsidRPr="000D1F53">
        <w:rPr>
          <w:rFonts w:asciiTheme="minorHAnsi" w:hAnsiTheme="minorHAnsi" w:cs="Arial"/>
          <w:sz w:val="28"/>
          <w:szCs w:val="28"/>
        </w:rPr>
        <w:t>.</w:t>
      </w:r>
      <w:r w:rsidR="00B5660B">
        <w:rPr>
          <w:rFonts w:asciiTheme="minorHAnsi" w:hAnsiTheme="minorHAnsi" w:cs="Arial"/>
          <w:sz w:val="28"/>
          <w:szCs w:val="28"/>
        </w:rPr>
        <w:t xml:space="preserve"> </w:t>
      </w:r>
      <w:r w:rsidR="003928E7">
        <w:rPr>
          <w:rFonts w:asciiTheme="minorHAnsi" w:hAnsiTheme="minorHAnsi" w:cs="Arial"/>
          <w:sz w:val="28"/>
          <w:szCs w:val="28"/>
        </w:rPr>
        <w:t>L’</w:t>
      </w:r>
      <w:proofErr w:type="spellStart"/>
      <w:r w:rsidR="003928E7">
        <w:rPr>
          <w:rFonts w:asciiTheme="minorHAnsi" w:hAnsiTheme="minorHAnsi" w:cs="Arial"/>
          <w:sz w:val="28"/>
          <w:szCs w:val="28"/>
        </w:rPr>
        <w:t>ivacaftor</w:t>
      </w:r>
      <w:proofErr w:type="spellEnd"/>
      <w:r w:rsidR="003928E7" w:rsidRPr="000D1F53">
        <w:rPr>
          <w:rFonts w:asciiTheme="minorHAnsi" w:hAnsiTheme="minorHAnsi" w:cs="Arial"/>
          <w:sz w:val="28"/>
          <w:szCs w:val="28"/>
        </w:rPr>
        <w:t xml:space="preserve"> </w:t>
      </w:r>
      <w:r w:rsidR="000D1F53" w:rsidRPr="000D1F53">
        <w:rPr>
          <w:rFonts w:asciiTheme="minorHAnsi" w:hAnsiTheme="minorHAnsi" w:cs="Arial"/>
          <w:sz w:val="28"/>
          <w:szCs w:val="28"/>
        </w:rPr>
        <w:t xml:space="preserve">est </w:t>
      </w:r>
      <w:r w:rsidR="003928E7">
        <w:rPr>
          <w:rFonts w:asciiTheme="minorHAnsi" w:hAnsiTheme="minorHAnsi" w:cs="Arial"/>
          <w:sz w:val="28"/>
          <w:szCs w:val="28"/>
        </w:rPr>
        <w:t>disponible</w:t>
      </w:r>
      <w:r w:rsidR="003928E7" w:rsidRPr="000D1F53">
        <w:rPr>
          <w:rFonts w:asciiTheme="minorHAnsi" w:hAnsiTheme="minorHAnsi" w:cs="Arial"/>
          <w:sz w:val="28"/>
          <w:szCs w:val="28"/>
        </w:rPr>
        <w:t xml:space="preserve"> </w:t>
      </w:r>
      <w:r w:rsidR="002E3165" w:rsidRPr="000D1F53">
        <w:rPr>
          <w:rFonts w:asciiTheme="minorHAnsi" w:hAnsiTheme="minorHAnsi" w:cs="Arial"/>
          <w:sz w:val="28"/>
          <w:szCs w:val="28"/>
        </w:rPr>
        <w:t>depuis 2012</w:t>
      </w:r>
      <w:r w:rsidR="002E3165">
        <w:rPr>
          <w:rFonts w:asciiTheme="minorHAnsi" w:hAnsiTheme="minorHAnsi" w:cs="Arial"/>
          <w:sz w:val="28"/>
          <w:szCs w:val="28"/>
        </w:rPr>
        <w:t xml:space="preserve"> </w:t>
      </w:r>
      <w:r w:rsidR="000D1F53" w:rsidRPr="000D1F53">
        <w:rPr>
          <w:rFonts w:asciiTheme="minorHAnsi" w:hAnsiTheme="minorHAnsi" w:cs="Arial"/>
          <w:sz w:val="28"/>
          <w:szCs w:val="28"/>
        </w:rPr>
        <w:t xml:space="preserve">pour </w:t>
      </w:r>
      <w:r w:rsidR="00E96DFF">
        <w:rPr>
          <w:rFonts w:asciiTheme="minorHAnsi" w:hAnsiTheme="minorHAnsi" w:cs="Arial"/>
          <w:sz w:val="28"/>
          <w:szCs w:val="28"/>
        </w:rPr>
        <w:t>l</w:t>
      </w:r>
      <w:r w:rsidR="000D1F53" w:rsidRPr="000D1F53">
        <w:rPr>
          <w:rFonts w:asciiTheme="minorHAnsi" w:hAnsiTheme="minorHAnsi" w:cs="Arial"/>
          <w:sz w:val="28"/>
          <w:szCs w:val="28"/>
        </w:rPr>
        <w:t>es malades</w:t>
      </w:r>
      <w:r w:rsidR="00B5660B">
        <w:rPr>
          <w:rFonts w:asciiTheme="minorHAnsi" w:hAnsiTheme="minorHAnsi" w:cs="Arial"/>
          <w:sz w:val="28"/>
          <w:szCs w:val="28"/>
        </w:rPr>
        <w:t xml:space="preserve"> porteurs de la mutation G551D</w:t>
      </w:r>
      <w:r w:rsidR="002E3165">
        <w:rPr>
          <w:rFonts w:asciiTheme="minorHAnsi" w:hAnsiTheme="minorHAnsi" w:cs="Arial"/>
          <w:sz w:val="28"/>
          <w:szCs w:val="28"/>
        </w:rPr>
        <w:t>,</w:t>
      </w:r>
      <w:r w:rsidR="000D1F53" w:rsidRPr="000D1F53">
        <w:rPr>
          <w:rFonts w:asciiTheme="minorHAnsi" w:hAnsiTheme="minorHAnsi" w:cs="Arial"/>
          <w:sz w:val="28"/>
          <w:szCs w:val="28"/>
        </w:rPr>
        <w:t xml:space="preserve"> sous le nom de </w:t>
      </w:r>
      <w:r w:rsidR="00B5660B">
        <w:rPr>
          <w:rFonts w:asciiTheme="minorHAnsi" w:hAnsiTheme="minorHAnsi" w:cs="Arial"/>
          <w:sz w:val="28"/>
          <w:szCs w:val="28"/>
        </w:rPr>
        <w:t xml:space="preserve">marque </w:t>
      </w:r>
      <w:proofErr w:type="spellStart"/>
      <w:r w:rsidR="000D1F53" w:rsidRPr="000D1F53">
        <w:rPr>
          <w:rFonts w:asciiTheme="minorHAnsi" w:hAnsiTheme="minorHAnsi" w:cs="Arial"/>
          <w:sz w:val="28"/>
          <w:szCs w:val="28"/>
        </w:rPr>
        <w:t>Kalydeco</w:t>
      </w:r>
      <w:proofErr w:type="spellEnd"/>
      <w:r w:rsidR="002E3165">
        <w:rPr>
          <w:rFonts w:ascii="Verdana" w:hAnsi="Verdana" w:cs="Arial"/>
          <w:b/>
          <w:bCs/>
          <w:color w:val="696969"/>
          <w:sz w:val="18"/>
          <w:szCs w:val="18"/>
          <w:vertAlign w:val="superscript"/>
        </w:rPr>
        <w:t>®</w:t>
      </w:r>
      <w:r w:rsidR="000D1F53" w:rsidRPr="000D1F53">
        <w:rPr>
          <w:rFonts w:asciiTheme="minorHAnsi" w:hAnsiTheme="minorHAnsi" w:cs="Arial"/>
          <w:sz w:val="28"/>
          <w:szCs w:val="28"/>
        </w:rPr>
        <w:t xml:space="preserve"> </w:t>
      </w:r>
      <w:r w:rsidR="008C1513">
        <w:rPr>
          <w:rFonts w:asciiTheme="minorHAnsi" w:hAnsiTheme="minorHAnsi" w:cs="Arial"/>
          <w:sz w:val="28"/>
          <w:szCs w:val="28"/>
        </w:rPr>
        <w:t xml:space="preserve">et a obtenu une </w:t>
      </w:r>
      <w:r w:rsidR="008D491A">
        <w:rPr>
          <w:rFonts w:asciiTheme="minorHAnsi" w:hAnsiTheme="minorHAnsi" w:cs="Arial"/>
          <w:sz w:val="28"/>
          <w:szCs w:val="28"/>
        </w:rPr>
        <w:t xml:space="preserve">première </w:t>
      </w:r>
      <w:r w:rsidR="002628CD">
        <w:rPr>
          <w:rFonts w:asciiTheme="minorHAnsi" w:hAnsiTheme="minorHAnsi" w:cs="Arial"/>
          <w:sz w:val="28"/>
          <w:szCs w:val="28"/>
        </w:rPr>
        <w:t>extension</w:t>
      </w:r>
      <w:r w:rsidR="007E6863">
        <w:rPr>
          <w:rFonts w:asciiTheme="minorHAnsi" w:hAnsiTheme="minorHAnsi" w:cs="Arial"/>
          <w:sz w:val="28"/>
          <w:szCs w:val="28"/>
        </w:rPr>
        <w:t xml:space="preserve"> d’AMM (</w:t>
      </w:r>
      <w:r w:rsidR="002628CD">
        <w:rPr>
          <w:rFonts w:asciiTheme="minorHAnsi" w:hAnsiTheme="minorHAnsi" w:cs="Arial"/>
          <w:sz w:val="28"/>
          <w:szCs w:val="28"/>
        </w:rPr>
        <w:t>auto</w:t>
      </w:r>
      <w:r w:rsidR="007E6863">
        <w:rPr>
          <w:rFonts w:asciiTheme="minorHAnsi" w:hAnsiTheme="minorHAnsi" w:cs="Arial"/>
          <w:sz w:val="28"/>
          <w:szCs w:val="28"/>
        </w:rPr>
        <w:t>risation de mise sur le marché</w:t>
      </w:r>
      <w:r w:rsidR="002628CD">
        <w:rPr>
          <w:rFonts w:asciiTheme="minorHAnsi" w:hAnsiTheme="minorHAnsi" w:cs="Arial"/>
          <w:sz w:val="28"/>
          <w:szCs w:val="28"/>
        </w:rPr>
        <w:t>)</w:t>
      </w:r>
      <w:r w:rsidR="008C1513">
        <w:rPr>
          <w:rFonts w:asciiTheme="minorHAnsi" w:hAnsiTheme="minorHAnsi" w:cs="Arial"/>
          <w:sz w:val="28"/>
          <w:szCs w:val="28"/>
        </w:rPr>
        <w:t xml:space="preserve"> au</w:t>
      </w:r>
      <w:r w:rsidR="007E6863">
        <w:rPr>
          <w:rFonts w:asciiTheme="minorHAnsi" w:hAnsiTheme="minorHAnsi" w:cs="Arial"/>
          <w:sz w:val="28"/>
          <w:szCs w:val="28"/>
        </w:rPr>
        <w:t>x</w:t>
      </w:r>
      <w:r w:rsidR="008C1513">
        <w:rPr>
          <w:rFonts w:asciiTheme="minorHAnsi" w:hAnsiTheme="minorHAnsi" w:cs="Arial"/>
          <w:sz w:val="28"/>
          <w:szCs w:val="28"/>
        </w:rPr>
        <w:t xml:space="preserve"> </w:t>
      </w:r>
      <w:r w:rsidR="002628CD">
        <w:rPr>
          <w:rFonts w:asciiTheme="minorHAnsi" w:hAnsiTheme="minorHAnsi" w:cs="Arial"/>
          <w:sz w:val="28"/>
          <w:szCs w:val="28"/>
        </w:rPr>
        <w:t xml:space="preserve">Etats-Unis </w:t>
      </w:r>
      <w:r w:rsidR="004E01A6">
        <w:rPr>
          <w:rFonts w:asciiTheme="minorHAnsi" w:hAnsiTheme="minorHAnsi" w:cs="Arial"/>
          <w:sz w:val="28"/>
          <w:szCs w:val="28"/>
        </w:rPr>
        <w:t xml:space="preserve">(en 2014) et en Europe (2015) </w:t>
      </w:r>
      <w:r w:rsidR="008C1513">
        <w:rPr>
          <w:rFonts w:asciiTheme="minorHAnsi" w:hAnsiTheme="minorHAnsi" w:cs="Arial"/>
          <w:sz w:val="28"/>
          <w:szCs w:val="28"/>
        </w:rPr>
        <w:t xml:space="preserve">pour </w:t>
      </w:r>
      <w:r w:rsidR="007E6863">
        <w:rPr>
          <w:rFonts w:asciiTheme="minorHAnsi" w:hAnsiTheme="minorHAnsi" w:cs="Arial"/>
          <w:sz w:val="28"/>
          <w:szCs w:val="28"/>
        </w:rPr>
        <w:t>8</w:t>
      </w:r>
      <w:r w:rsidR="008C1513">
        <w:rPr>
          <w:rFonts w:asciiTheme="minorHAnsi" w:hAnsiTheme="minorHAnsi" w:cs="Arial"/>
          <w:sz w:val="28"/>
          <w:szCs w:val="28"/>
        </w:rPr>
        <w:t xml:space="preserve"> </w:t>
      </w:r>
      <w:r w:rsidR="008C1513" w:rsidRPr="00A92B10">
        <w:rPr>
          <w:rFonts w:asciiTheme="minorHAnsi" w:hAnsiTheme="minorHAnsi" w:cs="Arial"/>
          <w:sz w:val="28"/>
          <w:szCs w:val="28"/>
        </w:rPr>
        <w:t>autres</w:t>
      </w:r>
      <w:r w:rsidR="008C1513">
        <w:rPr>
          <w:rFonts w:asciiTheme="minorHAnsi" w:hAnsiTheme="minorHAnsi" w:cs="Arial"/>
          <w:sz w:val="28"/>
          <w:szCs w:val="28"/>
        </w:rPr>
        <w:t xml:space="preserve"> mutations </w:t>
      </w:r>
      <w:r w:rsidR="00137678">
        <w:rPr>
          <w:rFonts w:asciiTheme="minorHAnsi" w:hAnsiTheme="minorHAnsi" w:cs="Arial"/>
          <w:sz w:val="28"/>
          <w:szCs w:val="28"/>
        </w:rPr>
        <w:t>« </w:t>
      </w:r>
      <w:proofErr w:type="spellStart"/>
      <w:r w:rsidR="008C1513">
        <w:rPr>
          <w:rFonts w:asciiTheme="minorHAnsi" w:hAnsiTheme="minorHAnsi" w:cs="Arial"/>
          <w:sz w:val="28"/>
          <w:szCs w:val="28"/>
        </w:rPr>
        <w:t>gating</w:t>
      </w:r>
      <w:proofErr w:type="spellEnd"/>
      <w:r w:rsidR="008D0CC1">
        <w:rPr>
          <w:rFonts w:asciiTheme="minorHAnsi" w:hAnsiTheme="minorHAnsi" w:cs="Arial"/>
          <w:sz w:val="28"/>
          <w:szCs w:val="28"/>
        </w:rPr>
        <w:t> »</w:t>
      </w:r>
      <w:r w:rsidR="00143E22">
        <w:rPr>
          <w:rStyle w:val="Appelnotedebasdep"/>
          <w:rFonts w:asciiTheme="minorHAnsi" w:hAnsiTheme="minorHAnsi" w:cs="Arial"/>
          <w:sz w:val="28"/>
          <w:szCs w:val="28"/>
        </w:rPr>
        <w:footnoteReference w:id="2"/>
      </w:r>
      <w:r w:rsidR="008D491A">
        <w:rPr>
          <w:rFonts w:asciiTheme="minorHAnsi" w:hAnsiTheme="minorHAnsi" w:cs="Arial"/>
          <w:sz w:val="28"/>
          <w:szCs w:val="28"/>
        </w:rPr>
        <w:t xml:space="preserve">. En novembre 2015, deux autres extensions </w:t>
      </w:r>
      <w:r w:rsidR="00B5660B">
        <w:rPr>
          <w:rFonts w:asciiTheme="minorHAnsi" w:hAnsiTheme="minorHAnsi" w:cs="Arial"/>
          <w:sz w:val="28"/>
          <w:szCs w:val="28"/>
        </w:rPr>
        <w:t xml:space="preserve">ont vu </w:t>
      </w:r>
      <w:r w:rsidR="008D491A">
        <w:rPr>
          <w:rFonts w:asciiTheme="minorHAnsi" w:hAnsiTheme="minorHAnsi" w:cs="Arial"/>
          <w:sz w:val="28"/>
          <w:szCs w:val="28"/>
        </w:rPr>
        <w:t xml:space="preserve">le jour, </w:t>
      </w:r>
      <w:r w:rsidR="00B5660B">
        <w:rPr>
          <w:rFonts w:asciiTheme="minorHAnsi" w:hAnsiTheme="minorHAnsi" w:cs="Arial"/>
          <w:sz w:val="28"/>
          <w:szCs w:val="28"/>
        </w:rPr>
        <w:t>l’</w:t>
      </w:r>
      <w:r w:rsidR="008D491A">
        <w:rPr>
          <w:rFonts w:asciiTheme="minorHAnsi" w:hAnsiTheme="minorHAnsi" w:cs="Arial"/>
          <w:sz w:val="28"/>
          <w:szCs w:val="28"/>
        </w:rPr>
        <w:t>une pour les patients de 2 à 5 ans porteurs d’une mutation « </w:t>
      </w:r>
      <w:proofErr w:type="spellStart"/>
      <w:r w:rsidR="008D491A">
        <w:rPr>
          <w:rFonts w:asciiTheme="minorHAnsi" w:hAnsiTheme="minorHAnsi" w:cs="Arial"/>
          <w:sz w:val="28"/>
          <w:szCs w:val="28"/>
        </w:rPr>
        <w:t>gating</w:t>
      </w:r>
      <w:proofErr w:type="spellEnd"/>
      <w:r w:rsidR="008D491A">
        <w:rPr>
          <w:rFonts w:asciiTheme="minorHAnsi" w:hAnsiTheme="minorHAnsi" w:cs="Arial"/>
          <w:sz w:val="28"/>
          <w:szCs w:val="28"/>
        </w:rPr>
        <w:t xml:space="preserve"> » et </w:t>
      </w:r>
      <w:r w:rsidR="00B5660B">
        <w:rPr>
          <w:rFonts w:asciiTheme="minorHAnsi" w:hAnsiTheme="minorHAnsi" w:cs="Arial"/>
          <w:sz w:val="28"/>
          <w:szCs w:val="28"/>
        </w:rPr>
        <w:t>l’</w:t>
      </w:r>
      <w:r w:rsidR="008D491A">
        <w:rPr>
          <w:rFonts w:asciiTheme="minorHAnsi" w:hAnsiTheme="minorHAnsi" w:cs="Arial"/>
          <w:sz w:val="28"/>
          <w:szCs w:val="28"/>
        </w:rPr>
        <w:t>autre pour les patients de plus de 18 ans porteurs d’une mutation R117H.</w:t>
      </w:r>
    </w:p>
    <w:p w:rsidR="00D20EE7" w:rsidRPr="000D1F53" w:rsidRDefault="00D20EE7" w:rsidP="001B7CB2">
      <w:pPr>
        <w:pStyle w:val="Titre1"/>
        <w:numPr>
          <w:ilvl w:val="0"/>
          <w:numId w:val="1"/>
        </w:numPr>
        <w:rPr>
          <w:rFonts w:asciiTheme="minorHAnsi" w:hAnsiTheme="minorHAnsi" w:cs="Arial"/>
          <w:sz w:val="28"/>
          <w:szCs w:val="28"/>
        </w:rPr>
      </w:pPr>
      <w:r w:rsidRPr="000D1F53">
        <w:rPr>
          <w:rFonts w:asciiTheme="minorHAnsi" w:hAnsiTheme="minorHAnsi" w:cs="Arial"/>
          <w:sz w:val="28"/>
          <w:szCs w:val="28"/>
        </w:rPr>
        <w:t xml:space="preserve">Qu’est-ce </w:t>
      </w:r>
      <w:r w:rsidR="002628CD" w:rsidRPr="000D1F53">
        <w:rPr>
          <w:rFonts w:asciiTheme="minorHAnsi" w:hAnsiTheme="minorHAnsi" w:cs="Arial"/>
          <w:sz w:val="28"/>
          <w:szCs w:val="28"/>
        </w:rPr>
        <w:t>qu</w:t>
      </w:r>
      <w:r w:rsidR="002628CD">
        <w:rPr>
          <w:rFonts w:asciiTheme="minorHAnsi" w:hAnsiTheme="minorHAnsi" w:cs="Arial"/>
          <w:sz w:val="28"/>
          <w:szCs w:val="28"/>
        </w:rPr>
        <w:t>e le</w:t>
      </w:r>
      <w:r w:rsidR="002628CD" w:rsidRPr="000D1F53">
        <w:rPr>
          <w:rFonts w:asciiTheme="minorHAnsi" w:hAnsiTheme="minorHAnsi" w:cs="Arial"/>
          <w:sz w:val="28"/>
          <w:szCs w:val="28"/>
        </w:rPr>
        <w:t xml:space="preserve"> </w:t>
      </w:r>
      <w:r w:rsidRPr="000D1F53">
        <w:rPr>
          <w:rFonts w:asciiTheme="minorHAnsi" w:hAnsiTheme="minorHAnsi" w:cs="Arial"/>
          <w:sz w:val="28"/>
          <w:szCs w:val="28"/>
        </w:rPr>
        <w:t>lumacaftor ?</w:t>
      </w:r>
    </w:p>
    <w:p w:rsidR="00727DB1" w:rsidRPr="000D1F53" w:rsidRDefault="000D1F53" w:rsidP="00A92B10">
      <w:pPr>
        <w:pStyle w:val="NormalWeb"/>
        <w:jc w:val="both"/>
        <w:rPr>
          <w:rFonts w:asciiTheme="minorHAnsi" w:hAnsiTheme="minorHAnsi" w:cs="Arial"/>
          <w:iCs/>
          <w:sz w:val="28"/>
          <w:szCs w:val="28"/>
        </w:rPr>
      </w:pPr>
      <w:r>
        <w:rPr>
          <w:rFonts w:asciiTheme="minorHAnsi" w:hAnsiTheme="minorHAnsi" w:cs="Arial"/>
          <w:iCs/>
          <w:sz w:val="28"/>
          <w:szCs w:val="28"/>
        </w:rPr>
        <w:t xml:space="preserve">Lumacaftor est un </w:t>
      </w:r>
      <w:r w:rsidR="00CA2901">
        <w:rPr>
          <w:rFonts w:asciiTheme="minorHAnsi" w:hAnsiTheme="minorHAnsi" w:cs="Arial"/>
          <w:iCs/>
          <w:sz w:val="28"/>
          <w:szCs w:val="28"/>
        </w:rPr>
        <w:t>« </w:t>
      </w:r>
      <w:r>
        <w:rPr>
          <w:rFonts w:asciiTheme="minorHAnsi" w:hAnsiTheme="minorHAnsi" w:cs="Arial"/>
          <w:iCs/>
          <w:sz w:val="28"/>
          <w:szCs w:val="28"/>
        </w:rPr>
        <w:t>correcteur</w:t>
      </w:r>
      <w:r w:rsidR="00B9142F">
        <w:rPr>
          <w:rFonts w:asciiTheme="minorHAnsi" w:hAnsiTheme="minorHAnsi" w:cs="Arial"/>
          <w:iCs/>
          <w:sz w:val="28"/>
          <w:szCs w:val="28"/>
        </w:rPr>
        <w:t> »</w:t>
      </w:r>
      <w:r>
        <w:rPr>
          <w:rFonts w:asciiTheme="minorHAnsi" w:hAnsiTheme="minorHAnsi" w:cs="Arial"/>
          <w:iCs/>
          <w:sz w:val="28"/>
          <w:szCs w:val="28"/>
        </w:rPr>
        <w:t xml:space="preserve"> de la protéine CFTR</w:t>
      </w:r>
      <w:r w:rsidR="00B9142F">
        <w:rPr>
          <w:rFonts w:asciiTheme="minorHAnsi" w:hAnsiTheme="minorHAnsi" w:cs="Arial"/>
          <w:iCs/>
          <w:sz w:val="28"/>
          <w:szCs w:val="28"/>
        </w:rPr>
        <w:t xml:space="preserve"> mutée</w:t>
      </w:r>
      <w:r>
        <w:rPr>
          <w:rFonts w:asciiTheme="minorHAnsi" w:hAnsiTheme="minorHAnsi" w:cs="Arial"/>
          <w:iCs/>
          <w:sz w:val="28"/>
          <w:szCs w:val="28"/>
        </w:rPr>
        <w:t xml:space="preserve">. </w:t>
      </w:r>
      <w:r w:rsidR="008756B5">
        <w:rPr>
          <w:rFonts w:asciiTheme="minorHAnsi" w:hAnsiTheme="minorHAnsi" w:cs="Arial"/>
          <w:iCs/>
          <w:sz w:val="28"/>
          <w:szCs w:val="28"/>
        </w:rPr>
        <w:t>Dans le cas d’une mutation entrainant un défaut de fabricati</w:t>
      </w:r>
      <w:r w:rsidR="008D0CC1">
        <w:rPr>
          <w:rFonts w:asciiTheme="minorHAnsi" w:hAnsiTheme="minorHAnsi" w:cs="Arial"/>
          <w:iCs/>
          <w:sz w:val="28"/>
          <w:szCs w:val="28"/>
        </w:rPr>
        <w:t xml:space="preserve">on de la protéine CFTR, </w:t>
      </w:r>
      <w:r w:rsidR="00454FFF">
        <w:rPr>
          <w:rFonts w:asciiTheme="minorHAnsi" w:hAnsiTheme="minorHAnsi" w:cs="Arial"/>
          <w:iCs/>
          <w:sz w:val="28"/>
          <w:szCs w:val="28"/>
        </w:rPr>
        <w:t>l</w:t>
      </w:r>
      <w:r w:rsidR="008D0CC1">
        <w:rPr>
          <w:rFonts w:asciiTheme="minorHAnsi" w:hAnsiTheme="minorHAnsi" w:cs="Arial"/>
          <w:iCs/>
          <w:sz w:val="28"/>
          <w:szCs w:val="28"/>
        </w:rPr>
        <w:t>umacaf</w:t>
      </w:r>
      <w:r w:rsidR="008756B5">
        <w:rPr>
          <w:rFonts w:asciiTheme="minorHAnsi" w:hAnsiTheme="minorHAnsi" w:cs="Arial"/>
          <w:iCs/>
          <w:sz w:val="28"/>
          <w:szCs w:val="28"/>
        </w:rPr>
        <w:t>tor corrige ce défaut et</w:t>
      </w:r>
      <w:r w:rsidR="00727DB1" w:rsidRPr="000D1F53">
        <w:rPr>
          <w:rFonts w:asciiTheme="minorHAnsi" w:hAnsiTheme="minorHAnsi" w:cs="Arial"/>
          <w:iCs/>
          <w:sz w:val="28"/>
          <w:szCs w:val="28"/>
        </w:rPr>
        <w:t xml:space="preserve"> permet à la protéine d’atteindre la surface de la </w:t>
      </w:r>
      <w:r w:rsidR="002E3165">
        <w:rPr>
          <w:rFonts w:asciiTheme="minorHAnsi" w:hAnsiTheme="minorHAnsi" w:cs="Arial"/>
          <w:iCs/>
          <w:sz w:val="28"/>
          <w:szCs w:val="28"/>
        </w:rPr>
        <w:t>cellule</w:t>
      </w:r>
      <w:r w:rsidR="00727DB1" w:rsidRPr="000D1F53">
        <w:rPr>
          <w:rFonts w:asciiTheme="minorHAnsi" w:hAnsiTheme="minorHAnsi" w:cs="Arial"/>
          <w:iCs/>
          <w:sz w:val="28"/>
          <w:szCs w:val="28"/>
        </w:rPr>
        <w:t>.</w:t>
      </w:r>
      <w:r w:rsidR="006A5443">
        <w:rPr>
          <w:rFonts w:asciiTheme="minorHAnsi" w:hAnsiTheme="minorHAnsi" w:cs="Arial"/>
          <w:iCs/>
          <w:sz w:val="28"/>
          <w:szCs w:val="28"/>
        </w:rPr>
        <w:t xml:space="preserve"> </w:t>
      </w:r>
      <w:r w:rsidR="00721297">
        <w:rPr>
          <w:rFonts w:asciiTheme="minorHAnsi" w:hAnsiTheme="minorHAnsi" w:cs="Arial"/>
          <w:iCs/>
          <w:sz w:val="28"/>
          <w:szCs w:val="28"/>
        </w:rPr>
        <w:t>A la différence d’ivacaftor, l</w:t>
      </w:r>
      <w:r w:rsidR="006A5443">
        <w:rPr>
          <w:rFonts w:asciiTheme="minorHAnsi" w:hAnsiTheme="minorHAnsi" w:cs="Arial"/>
          <w:iCs/>
          <w:sz w:val="28"/>
          <w:szCs w:val="28"/>
        </w:rPr>
        <w:t xml:space="preserve">umacaftor n’a pas d’impact </w:t>
      </w:r>
      <w:r w:rsidR="00A20E7C">
        <w:rPr>
          <w:rFonts w:asciiTheme="minorHAnsi" w:hAnsiTheme="minorHAnsi" w:cs="Arial"/>
          <w:iCs/>
          <w:sz w:val="28"/>
          <w:szCs w:val="28"/>
        </w:rPr>
        <w:t xml:space="preserve">direct </w:t>
      </w:r>
      <w:r w:rsidR="006A5443">
        <w:rPr>
          <w:rFonts w:asciiTheme="minorHAnsi" w:hAnsiTheme="minorHAnsi" w:cs="Arial"/>
          <w:iCs/>
          <w:sz w:val="28"/>
          <w:szCs w:val="28"/>
        </w:rPr>
        <w:t xml:space="preserve">sur </w:t>
      </w:r>
      <w:r w:rsidR="008756B5">
        <w:rPr>
          <w:rFonts w:asciiTheme="minorHAnsi" w:hAnsiTheme="minorHAnsi" w:cs="Arial"/>
          <w:iCs/>
          <w:sz w:val="28"/>
          <w:szCs w:val="28"/>
        </w:rPr>
        <w:t xml:space="preserve">le fonctionnement </w:t>
      </w:r>
      <w:r w:rsidR="006A5443">
        <w:rPr>
          <w:rFonts w:asciiTheme="minorHAnsi" w:hAnsiTheme="minorHAnsi" w:cs="Arial"/>
          <w:iCs/>
          <w:sz w:val="28"/>
          <w:szCs w:val="28"/>
        </w:rPr>
        <w:t xml:space="preserve">de la protéine </w:t>
      </w:r>
      <w:r w:rsidR="008756B5">
        <w:rPr>
          <w:rFonts w:asciiTheme="minorHAnsi" w:hAnsiTheme="minorHAnsi" w:cs="Arial"/>
          <w:iCs/>
          <w:sz w:val="28"/>
          <w:szCs w:val="28"/>
        </w:rPr>
        <w:t xml:space="preserve">à </w:t>
      </w:r>
      <w:r w:rsidR="006A5443">
        <w:rPr>
          <w:rFonts w:asciiTheme="minorHAnsi" w:hAnsiTheme="minorHAnsi" w:cs="Arial"/>
          <w:iCs/>
          <w:sz w:val="28"/>
          <w:szCs w:val="28"/>
        </w:rPr>
        <w:t>la membrane cellulaire</w:t>
      </w:r>
      <w:r w:rsidR="00A20E7C">
        <w:rPr>
          <w:rFonts w:asciiTheme="minorHAnsi" w:hAnsiTheme="minorHAnsi" w:cs="Arial"/>
          <w:iCs/>
          <w:sz w:val="28"/>
          <w:szCs w:val="28"/>
        </w:rPr>
        <w:t>.</w:t>
      </w:r>
    </w:p>
    <w:p w:rsidR="00D20EE7" w:rsidRPr="006B4161" w:rsidRDefault="00D20EE7" w:rsidP="00A92B10">
      <w:pPr>
        <w:pStyle w:val="Titre1"/>
        <w:numPr>
          <w:ilvl w:val="0"/>
          <w:numId w:val="1"/>
        </w:numPr>
        <w:jc w:val="both"/>
        <w:rPr>
          <w:rFonts w:asciiTheme="minorHAnsi" w:hAnsiTheme="minorHAnsi" w:cs="Arial"/>
          <w:sz w:val="28"/>
          <w:szCs w:val="28"/>
        </w:rPr>
      </w:pPr>
      <w:r w:rsidRPr="006B4161">
        <w:rPr>
          <w:rFonts w:asciiTheme="minorHAnsi" w:hAnsiTheme="minorHAnsi" w:cs="Arial"/>
          <w:sz w:val="28"/>
          <w:szCs w:val="28"/>
        </w:rPr>
        <w:t xml:space="preserve">Pourquoi associer </w:t>
      </w:r>
      <w:r w:rsidR="00B5660B" w:rsidRPr="006B4161">
        <w:rPr>
          <w:rFonts w:asciiTheme="minorHAnsi" w:hAnsiTheme="minorHAnsi" w:cs="Arial"/>
          <w:sz w:val="28"/>
          <w:szCs w:val="28"/>
        </w:rPr>
        <w:t xml:space="preserve">ces </w:t>
      </w:r>
      <w:r w:rsidRPr="006B4161">
        <w:rPr>
          <w:rFonts w:asciiTheme="minorHAnsi" w:hAnsiTheme="minorHAnsi" w:cs="Arial"/>
          <w:sz w:val="28"/>
          <w:szCs w:val="28"/>
        </w:rPr>
        <w:t xml:space="preserve">deux </w:t>
      </w:r>
      <w:r w:rsidR="008D491A" w:rsidRPr="006B4161">
        <w:rPr>
          <w:rFonts w:asciiTheme="minorHAnsi" w:hAnsiTheme="minorHAnsi" w:cs="Arial"/>
          <w:sz w:val="28"/>
          <w:szCs w:val="28"/>
        </w:rPr>
        <w:t>molécules</w:t>
      </w:r>
      <w:r w:rsidR="005E37A9" w:rsidRPr="006B4161">
        <w:rPr>
          <w:rFonts w:asciiTheme="minorHAnsi" w:hAnsiTheme="minorHAnsi" w:cs="Arial"/>
          <w:sz w:val="28"/>
          <w:szCs w:val="28"/>
        </w:rPr>
        <w:t>?</w:t>
      </w:r>
    </w:p>
    <w:p w:rsidR="00CE15AD" w:rsidRPr="00CE15AD" w:rsidRDefault="00CE15AD" w:rsidP="00A92B10">
      <w:pPr>
        <w:pStyle w:val="NormalWeb"/>
        <w:jc w:val="both"/>
        <w:rPr>
          <w:rFonts w:asciiTheme="minorHAnsi" w:hAnsiTheme="minorHAnsi" w:cs="Arial"/>
          <w:sz w:val="28"/>
          <w:szCs w:val="28"/>
        </w:rPr>
      </w:pPr>
      <w:r w:rsidRPr="00CE15AD">
        <w:rPr>
          <w:rFonts w:asciiTheme="minorHAnsi" w:hAnsiTheme="minorHAnsi" w:cs="Arial"/>
          <w:sz w:val="28"/>
          <w:szCs w:val="28"/>
        </w:rPr>
        <w:t xml:space="preserve">L’intérêt de </w:t>
      </w:r>
      <w:r w:rsidR="00A001D7" w:rsidRPr="00CE15AD">
        <w:rPr>
          <w:rFonts w:asciiTheme="minorHAnsi" w:hAnsiTheme="minorHAnsi" w:cs="Arial"/>
          <w:sz w:val="28"/>
          <w:szCs w:val="28"/>
        </w:rPr>
        <w:t>l</w:t>
      </w:r>
      <w:r w:rsidR="00A001D7">
        <w:rPr>
          <w:rFonts w:asciiTheme="minorHAnsi" w:hAnsiTheme="minorHAnsi" w:cs="Arial"/>
          <w:sz w:val="28"/>
          <w:szCs w:val="28"/>
        </w:rPr>
        <w:t>a combinaison</w:t>
      </w:r>
      <w:r w:rsidR="00A001D7" w:rsidRPr="00CE15AD">
        <w:rPr>
          <w:rFonts w:asciiTheme="minorHAnsi" w:hAnsiTheme="minorHAnsi" w:cs="Arial"/>
          <w:sz w:val="28"/>
          <w:szCs w:val="28"/>
        </w:rPr>
        <w:t xml:space="preserve"> </w:t>
      </w:r>
      <w:r w:rsidRPr="00CE15AD">
        <w:rPr>
          <w:rFonts w:asciiTheme="minorHAnsi" w:hAnsiTheme="minorHAnsi" w:cs="Arial"/>
          <w:sz w:val="28"/>
          <w:szCs w:val="28"/>
        </w:rPr>
        <w:t>d’</w:t>
      </w:r>
      <w:proofErr w:type="spellStart"/>
      <w:r w:rsidRPr="00CE15AD">
        <w:rPr>
          <w:rFonts w:asciiTheme="minorHAnsi" w:hAnsiTheme="minorHAnsi" w:cs="Arial"/>
          <w:sz w:val="28"/>
          <w:szCs w:val="28"/>
        </w:rPr>
        <w:t>ivacaftor</w:t>
      </w:r>
      <w:proofErr w:type="spellEnd"/>
      <w:r w:rsidRPr="00CE15AD">
        <w:rPr>
          <w:rFonts w:asciiTheme="minorHAnsi" w:hAnsiTheme="minorHAnsi" w:cs="Arial"/>
          <w:sz w:val="28"/>
          <w:szCs w:val="28"/>
        </w:rPr>
        <w:t xml:space="preserve"> et </w:t>
      </w:r>
      <w:r w:rsidR="00B9142F">
        <w:rPr>
          <w:rFonts w:asciiTheme="minorHAnsi" w:hAnsiTheme="minorHAnsi" w:cs="Arial"/>
          <w:sz w:val="28"/>
          <w:szCs w:val="28"/>
        </w:rPr>
        <w:t xml:space="preserve">de </w:t>
      </w:r>
      <w:proofErr w:type="spellStart"/>
      <w:r w:rsidRPr="00CE15AD">
        <w:rPr>
          <w:rFonts w:asciiTheme="minorHAnsi" w:hAnsiTheme="minorHAnsi" w:cs="Arial"/>
          <w:sz w:val="28"/>
          <w:szCs w:val="28"/>
        </w:rPr>
        <w:t>lumacaftor</w:t>
      </w:r>
      <w:proofErr w:type="spellEnd"/>
      <w:r w:rsidRPr="00CE15AD">
        <w:rPr>
          <w:rFonts w:asciiTheme="minorHAnsi" w:hAnsiTheme="minorHAnsi" w:cs="Arial"/>
          <w:sz w:val="28"/>
          <w:szCs w:val="28"/>
        </w:rPr>
        <w:t xml:space="preserve"> réside dans le fait que ces deux mol</w:t>
      </w:r>
      <w:r>
        <w:rPr>
          <w:rFonts w:asciiTheme="minorHAnsi" w:hAnsiTheme="minorHAnsi" w:cs="Arial"/>
          <w:sz w:val="28"/>
          <w:szCs w:val="28"/>
        </w:rPr>
        <w:t>é</w:t>
      </w:r>
      <w:r w:rsidRPr="00CE15AD">
        <w:rPr>
          <w:rFonts w:asciiTheme="minorHAnsi" w:hAnsiTheme="minorHAnsi" w:cs="Arial"/>
          <w:sz w:val="28"/>
          <w:szCs w:val="28"/>
        </w:rPr>
        <w:t>cules agissent en deux étape</w:t>
      </w:r>
      <w:r>
        <w:rPr>
          <w:rFonts w:asciiTheme="minorHAnsi" w:hAnsiTheme="minorHAnsi" w:cs="Arial"/>
          <w:sz w:val="28"/>
          <w:szCs w:val="28"/>
        </w:rPr>
        <w:t>s</w:t>
      </w:r>
      <w:r w:rsidRPr="00CE15AD">
        <w:rPr>
          <w:rFonts w:asciiTheme="minorHAnsi" w:hAnsiTheme="minorHAnsi" w:cs="Arial"/>
          <w:sz w:val="28"/>
          <w:szCs w:val="28"/>
        </w:rPr>
        <w:t xml:space="preserve"> :</w:t>
      </w:r>
      <w:r>
        <w:rPr>
          <w:rFonts w:asciiTheme="minorHAnsi" w:hAnsiTheme="minorHAnsi" w:cs="Arial"/>
          <w:sz w:val="28"/>
          <w:szCs w:val="28"/>
        </w:rPr>
        <w:t xml:space="preserve"> </w:t>
      </w:r>
      <w:r w:rsidRPr="00CE15AD">
        <w:rPr>
          <w:rFonts w:asciiTheme="minorHAnsi" w:hAnsiTheme="minorHAnsi" w:cs="Arial"/>
          <w:sz w:val="28"/>
          <w:szCs w:val="28"/>
        </w:rPr>
        <w:t>lumacaftor</w:t>
      </w:r>
      <w:r>
        <w:rPr>
          <w:rFonts w:asciiTheme="minorHAnsi" w:hAnsiTheme="minorHAnsi" w:cs="Arial"/>
          <w:sz w:val="28"/>
          <w:szCs w:val="28"/>
        </w:rPr>
        <w:t xml:space="preserve"> permet à CFTR d’atteindre la membrane cellulaire et ivacaftor permet à la protéine </w:t>
      </w:r>
      <w:r w:rsidR="00CA2901">
        <w:rPr>
          <w:rFonts w:asciiTheme="minorHAnsi" w:hAnsiTheme="minorHAnsi" w:cs="Arial"/>
          <w:sz w:val="28"/>
          <w:szCs w:val="28"/>
        </w:rPr>
        <w:t xml:space="preserve">de jouer son rôle de canal </w:t>
      </w:r>
      <w:r w:rsidR="00EB13C7">
        <w:rPr>
          <w:rFonts w:asciiTheme="minorHAnsi" w:hAnsiTheme="minorHAnsi" w:cs="Arial"/>
          <w:sz w:val="28"/>
          <w:szCs w:val="28"/>
        </w:rPr>
        <w:t>au niveau de</w:t>
      </w:r>
      <w:r>
        <w:rPr>
          <w:rFonts w:asciiTheme="minorHAnsi" w:hAnsiTheme="minorHAnsi" w:cs="Arial"/>
          <w:sz w:val="28"/>
          <w:szCs w:val="28"/>
        </w:rPr>
        <w:t xml:space="preserve"> la membrane cellulaire. Ce mécanisme en deux étapes est essentiel pour une efficacité dans un contexte où </w:t>
      </w:r>
      <w:r w:rsidR="00CA2901">
        <w:rPr>
          <w:rFonts w:asciiTheme="minorHAnsi" w:hAnsiTheme="minorHAnsi" w:cs="Arial"/>
          <w:sz w:val="28"/>
          <w:szCs w:val="28"/>
        </w:rPr>
        <w:t>les conséquences de la mutation</w:t>
      </w:r>
      <w:r>
        <w:rPr>
          <w:rFonts w:asciiTheme="minorHAnsi" w:hAnsiTheme="minorHAnsi" w:cs="Arial"/>
          <w:sz w:val="28"/>
          <w:szCs w:val="28"/>
        </w:rPr>
        <w:t xml:space="preserve"> CFTR </w:t>
      </w:r>
      <w:r w:rsidR="00CA2901">
        <w:rPr>
          <w:rFonts w:asciiTheme="minorHAnsi" w:hAnsiTheme="minorHAnsi" w:cs="Arial"/>
          <w:sz w:val="28"/>
          <w:szCs w:val="28"/>
        </w:rPr>
        <w:t xml:space="preserve">portent </w:t>
      </w:r>
      <w:r>
        <w:rPr>
          <w:rFonts w:asciiTheme="minorHAnsi" w:hAnsiTheme="minorHAnsi" w:cs="Arial"/>
          <w:sz w:val="28"/>
          <w:szCs w:val="28"/>
        </w:rPr>
        <w:t xml:space="preserve">à la fois </w:t>
      </w:r>
      <w:r w:rsidR="00CA2901">
        <w:rPr>
          <w:rFonts w:asciiTheme="minorHAnsi" w:hAnsiTheme="minorHAnsi" w:cs="Arial"/>
          <w:sz w:val="28"/>
          <w:szCs w:val="28"/>
        </w:rPr>
        <w:t>sur la quantité et la qualité de la protéine</w:t>
      </w:r>
      <w:r>
        <w:rPr>
          <w:rFonts w:asciiTheme="minorHAnsi" w:hAnsiTheme="minorHAnsi" w:cs="Arial"/>
          <w:sz w:val="28"/>
          <w:szCs w:val="28"/>
        </w:rPr>
        <w:t xml:space="preserve">, comme c’est le cas </w:t>
      </w:r>
      <w:r w:rsidR="00CA2901">
        <w:rPr>
          <w:rFonts w:asciiTheme="minorHAnsi" w:hAnsiTheme="minorHAnsi" w:cs="Arial"/>
          <w:sz w:val="28"/>
          <w:szCs w:val="28"/>
        </w:rPr>
        <w:t>pour les patients</w:t>
      </w:r>
      <w:r>
        <w:rPr>
          <w:rFonts w:asciiTheme="minorHAnsi" w:hAnsiTheme="minorHAnsi" w:cs="Arial"/>
          <w:sz w:val="28"/>
          <w:szCs w:val="28"/>
        </w:rPr>
        <w:t xml:space="preserve"> homozygotes </w:t>
      </w:r>
      <w:r w:rsidR="00CF6E04">
        <w:rPr>
          <w:rFonts w:asciiTheme="minorHAnsi" w:hAnsiTheme="minorHAnsi" w:cs="Arial"/>
          <w:sz w:val="28"/>
          <w:szCs w:val="28"/>
        </w:rPr>
        <w:t>F508del</w:t>
      </w:r>
      <w:r>
        <w:rPr>
          <w:rFonts w:asciiTheme="minorHAnsi" w:hAnsiTheme="minorHAnsi" w:cs="Arial"/>
          <w:sz w:val="28"/>
          <w:szCs w:val="28"/>
        </w:rPr>
        <w:t>.</w:t>
      </w:r>
    </w:p>
    <w:p w:rsidR="00D20EE7" w:rsidRDefault="009A5DCB" w:rsidP="00A92B10">
      <w:pPr>
        <w:pStyle w:val="Titre1"/>
        <w:numPr>
          <w:ilvl w:val="0"/>
          <w:numId w:val="1"/>
        </w:numPr>
        <w:jc w:val="both"/>
        <w:rPr>
          <w:rFonts w:asciiTheme="minorHAnsi" w:hAnsiTheme="minorHAnsi" w:cs="Arial"/>
          <w:sz w:val="28"/>
          <w:szCs w:val="28"/>
        </w:rPr>
      </w:pPr>
      <w:r>
        <w:rPr>
          <w:rFonts w:asciiTheme="minorHAnsi" w:hAnsiTheme="minorHAnsi" w:cs="Arial"/>
          <w:sz w:val="28"/>
          <w:szCs w:val="28"/>
        </w:rPr>
        <w:t>À</w:t>
      </w:r>
      <w:r w:rsidR="0015121C" w:rsidRPr="000D1F53">
        <w:rPr>
          <w:rFonts w:asciiTheme="minorHAnsi" w:hAnsiTheme="minorHAnsi" w:cs="Arial"/>
          <w:sz w:val="28"/>
          <w:szCs w:val="28"/>
        </w:rPr>
        <w:t xml:space="preserve"> qui est destinée cette combinaison thérapeutique</w:t>
      </w:r>
      <w:r w:rsidR="00D20EE7" w:rsidRPr="000D1F53">
        <w:rPr>
          <w:rFonts w:asciiTheme="minorHAnsi" w:hAnsiTheme="minorHAnsi" w:cs="Arial"/>
          <w:sz w:val="28"/>
          <w:szCs w:val="28"/>
        </w:rPr>
        <w:t xml:space="preserve"> ? </w:t>
      </w:r>
    </w:p>
    <w:p w:rsidR="008D4A55" w:rsidRDefault="00EB13C7" w:rsidP="00A92B10">
      <w:pPr>
        <w:pStyle w:val="Titre1"/>
        <w:jc w:val="both"/>
        <w:rPr>
          <w:rFonts w:asciiTheme="minorHAnsi" w:hAnsiTheme="minorHAnsi" w:cs="Arial"/>
          <w:b w:val="0"/>
          <w:sz w:val="28"/>
          <w:szCs w:val="28"/>
        </w:rPr>
      </w:pPr>
      <w:r>
        <w:rPr>
          <w:rFonts w:asciiTheme="minorHAnsi" w:hAnsiTheme="minorHAnsi" w:cs="Arial"/>
          <w:b w:val="0"/>
          <w:sz w:val="28"/>
          <w:szCs w:val="28"/>
        </w:rPr>
        <w:t xml:space="preserve">Les résultats sur </w:t>
      </w:r>
      <w:r w:rsidR="00A773C1">
        <w:rPr>
          <w:rFonts w:asciiTheme="minorHAnsi" w:hAnsiTheme="minorHAnsi" w:cs="Arial"/>
          <w:b w:val="0"/>
          <w:sz w:val="28"/>
          <w:szCs w:val="28"/>
        </w:rPr>
        <w:t xml:space="preserve">cette </w:t>
      </w:r>
      <w:r w:rsidR="00A001D7">
        <w:rPr>
          <w:rFonts w:asciiTheme="minorHAnsi" w:hAnsiTheme="minorHAnsi" w:cs="Arial"/>
          <w:b w:val="0"/>
          <w:sz w:val="28"/>
          <w:szCs w:val="28"/>
        </w:rPr>
        <w:t>combinais</w:t>
      </w:r>
      <w:r w:rsidR="00A773C1">
        <w:rPr>
          <w:rFonts w:asciiTheme="minorHAnsi" w:hAnsiTheme="minorHAnsi" w:cs="Arial"/>
          <w:b w:val="0"/>
          <w:sz w:val="28"/>
          <w:szCs w:val="28"/>
        </w:rPr>
        <w:t>on de 2 molécules</w:t>
      </w:r>
      <w:r>
        <w:rPr>
          <w:rFonts w:asciiTheme="minorHAnsi" w:hAnsiTheme="minorHAnsi" w:cs="Arial"/>
          <w:b w:val="0"/>
          <w:sz w:val="28"/>
          <w:szCs w:val="28"/>
        </w:rPr>
        <w:t xml:space="preserve"> sont issus </w:t>
      </w:r>
      <w:r w:rsidR="004B3B77">
        <w:rPr>
          <w:rFonts w:asciiTheme="minorHAnsi" w:hAnsiTheme="minorHAnsi" w:cs="Arial"/>
          <w:b w:val="0"/>
          <w:sz w:val="28"/>
          <w:szCs w:val="28"/>
        </w:rPr>
        <w:t xml:space="preserve">d’essais cliniques </w:t>
      </w:r>
      <w:r w:rsidR="0079166B">
        <w:rPr>
          <w:rFonts w:asciiTheme="minorHAnsi" w:hAnsiTheme="minorHAnsi" w:cs="Arial"/>
          <w:b w:val="0"/>
          <w:sz w:val="28"/>
          <w:szCs w:val="28"/>
        </w:rPr>
        <w:t xml:space="preserve">chez </w:t>
      </w:r>
      <w:r w:rsidR="00D00714">
        <w:rPr>
          <w:rFonts w:asciiTheme="minorHAnsi" w:hAnsiTheme="minorHAnsi" w:cs="Arial"/>
          <w:b w:val="0"/>
          <w:sz w:val="28"/>
          <w:szCs w:val="28"/>
        </w:rPr>
        <w:t xml:space="preserve">des </w:t>
      </w:r>
      <w:r w:rsidR="00CA2901">
        <w:rPr>
          <w:rFonts w:asciiTheme="minorHAnsi" w:hAnsiTheme="minorHAnsi" w:cs="Arial"/>
          <w:b w:val="0"/>
          <w:sz w:val="28"/>
          <w:szCs w:val="28"/>
        </w:rPr>
        <w:t xml:space="preserve">patients </w:t>
      </w:r>
      <w:r w:rsidR="00D00714" w:rsidRPr="00D00714">
        <w:rPr>
          <w:rFonts w:asciiTheme="minorHAnsi" w:hAnsiTheme="minorHAnsi" w:cs="Arial"/>
          <w:b w:val="0"/>
          <w:sz w:val="28"/>
          <w:szCs w:val="28"/>
        </w:rPr>
        <w:t xml:space="preserve">homozygotes </w:t>
      </w:r>
      <w:r w:rsidR="00CF6E04">
        <w:rPr>
          <w:rFonts w:asciiTheme="minorHAnsi" w:hAnsiTheme="minorHAnsi" w:cs="Arial"/>
          <w:b w:val="0"/>
          <w:sz w:val="28"/>
          <w:szCs w:val="28"/>
        </w:rPr>
        <w:t>F508del</w:t>
      </w:r>
      <w:r w:rsidR="00D00714">
        <w:rPr>
          <w:rFonts w:asciiTheme="minorHAnsi" w:hAnsiTheme="minorHAnsi" w:cs="Arial"/>
          <w:b w:val="0"/>
          <w:sz w:val="28"/>
          <w:szCs w:val="28"/>
        </w:rPr>
        <w:t xml:space="preserve"> </w:t>
      </w:r>
      <w:r w:rsidR="00CA2901">
        <w:rPr>
          <w:rFonts w:asciiTheme="minorHAnsi" w:hAnsiTheme="minorHAnsi" w:cs="Arial"/>
          <w:b w:val="0"/>
          <w:sz w:val="28"/>
          <w:szCs w:val="28"/>
        </w:rPr>
        <w:t xml:space="preserve">âgés </w:t>
      </w:r>
      <w:r w:rsidR="00D00714">
        <w:rPr>
          <w:rFonts w:asciiTheme="minorHAnsi" w:hAnsiTheme="minorHAnsi" w:cs="Arial"/>
          <w:b w:val="0"/>
          <w:sz w:val="28"/>
          <w:szCs w:val="28"/>
        </w:rPr>
        <w:t xml:space="preserve">de 12 ans et plus. </w:t>
      </w:r>
      <w:r>
        <w:rPr>
          <w:rFonts w:asciiTheme="minorHAnsi" w:hAnsiTheme="minorHAnsi" w:cs="Arial"/>
          <w:b w:val="0"/>
          <w:sz w:val="28"/>
          <w:szCs w:val="28"/>
        </w:rPr>
        <w:t>Ils</w:t>
      </w:r>
      <w:r w:rsidR="00D00714">
        <w:rPr>
          <w:rFonts w:asciiTheme="minorHAnsi" w:hAnsiTheme="minorHAnsi" w:cs="Arial"/>
          <w:b w:val="0"/>
          <w:sz w:val="28"/>
          <w:szCs w:val="28"/>
        </w:rPr>
        <w:t xml:space="preserve"> ne sont donc valables que pour cette population spécifique. </w:t>
      </w:r>
      <w:r w:rsidR="00255418">
        <w:rPr>
          <w:rFonts w:asciiTheme="minorHAnsi" w:hAnsiTheme="minorHAnsi" w:cs="Arial"/>
          <w:b w:val="0"/>
          <w:sz w:val="28"/>
          <w:szCs w:val="28"/>
        </w:rPr>
        <w:t>En raison</w:t>
      </w:r>
      <w:r w:rsidR="008D4A55">
        <w:rPr>
          <w:rFonts w:asciiTheme="minorHAnsi" w:hAnsiTheme="minorHAnsi" w:cs="Arial"/>
          <w:b w:val="0"/>
          <w:sz w:val="28"/>
          <w:szCs w:val="28"/>
        </w:rPr>
        <w:t xml:space="preserve"> des interactions médicamenteuses</w:t>
      </w:r>
      <w:r w:rsidR="00483910">
        <w:rPr>
          <w:rFonts w:asciiTheme="minorHAnsi" w:hAnsiTheme="minorHAnsi" w:cs="Arial"/>
          <w:b w:val="0"/>
          <w:sz w:val="28"/>
          <w:szCs w:val="28"/>
        </w:rPr>
        <w:t>,</w:t>
      </w:r>
      <w:r w:rsidR="008D4A55">
        <w:rPr>
          <w:rFonts w:asciiTheme="minorHAnsi" w:hAnsiTheme="minorHAnsi" w:cs="Arial"/>
          <w:b w:val="0"/>
          <w:sz w:val="28"/>
          <w:szCs w:val="28"/>
        </w:rPr>
        <w:t xml:space="preserve"> ce traitement n’est pas recommandé pour certains patients, notamment pour les personnes transplantées qui sont sous immunosuppresseurs.</w:t>
      </w:r>
    </w:p>
    <w:p w:rsidR="008D491A" w:rsidRDefault="00483910" w:rsidP="00A92B10">
      <w:pPr>
        <w:pStyle w:val="Titre1"/>
        <w:spacing w:after="0" w:afterAutospacing="0"/>
        <w:jc w:val="both"/>
        <w:rPr>
          <w:rFonts w:asciiTheme="minorHAnsi" w:hAnsiTheme="minorHAnsi" w:cs="Arial"/>
          <w:b w:val="0"/>
          <w:sz w:val="28"/>
          <w:szCs w:val="28"/>
        </w:rPr>
      </w:pPr>
      <w:r>
        <w:rPr>
          <w:rFonts w:asciiTheme="minorHAnsi" w:hAnsiTheme="minorHAnsi" w:cs="Arial"/>
          <w:b w:val="0"/>
          <w:sz w:val="28"/>
          <w:szCs w:val="28"/>
        </w:rPr>
        <w:lastRenderedPageBreak/>
        <w:t>En effet, l</w:t>
      </w:r>
      <w:r w:rsidR="008D491A">
        <w:rPr>
          <w:rFonts w:asciiTheme="minorHAnsi" w:hAnsiTheme="minorHAnsi" w:cs="Arial"/>
          <w:b w:val="0"/>
          <w:sz w:val="28"/>
          <w:szCs w:val="28"/>
        </w:rPr>
        <w:t>’utilisation concomitante de médicaments qui utilisent les mêmes voies de métabolisme entraine une « compétition ». Ainsi</w:t>
      </w:r>
      <w:r w:rsidR="009A5DCB">
        <w:rPr>
          <w:rFonts w:asciiTheme="minorHAnsi" w:hAnsiTheme="minorHAnsi" w:cs="Arial"/>
          <w:b w:val="0"/>
          <w:sz w:val="28"/>
          <w:szCs w:val="28"/>
        </w:rPr>
        <w:t>,</w:t>
      </w:r>
      <w:r w:rsidR="008D491A">
        <w:rPr>
          <w:rFonts w:asciiTheme="minorHAnsi" w:hAnsiTheme="minorHAnsi" w:cs="Arial"/>
          <w:b w:val="0"/>
          <w:sz w:val="28"/>
          <w:szCs w:val="28"/>
        </w:rPr>
        <w:t xml:space="preserve"> l’élimination d’un médicament peut être :</w:t>
      </w:r>
    </w:p>
    <w:p w:rsidR="008D491A" w:rsidRDefault="008D491A" w:rsidP="00A92B10">
      <w:pPr>
        <w:pStyle w:val="Titre1"/>
        <w:numPr>
          <w:ilvl w:val="0"/>
          <w:numId w:val="12"/>
        </w:numPr>
        <w:jc w:val="both"/>
        <w:rPr>
          <w:rFonts w:asciiTheme="minorHAnsi" w:hAnsiTheme="minorHAnsi" w:cs="Arial"/>
          <w:b w:val="0"/>
          <w:sz w:val="28"/>
          <w:szCs w:val="28"/>
        </w:rPr>
      </w:pPr>
      <w:proofErr w:type="gramStart"/>
      <w:r>
        <w:rPr>
          <w:rFonts w:asciiTheme="minorHAnsi" w:hAnsiTheme="minorHAnsi" w:cs="Arial"/>
          <w:b w:val="0"/>
          <w:sz w:val="28"/>
          <w:szCs w:val="28"/>
        </w:rPr>
        <w:t>ralentie</w:t>
      </w:r>
      <w:proofErr w:type="gramEnd"/>
      <w:r>
        <w:rPr>
          <w:rFonts w:asciiTheme="minorHAnsi" w:hAnsiTheme="minorHAnsi" w:cs="Arial"/>
          <w:b w:val="0"/>
          <w:sz w:val="28"/>
          <w:szCs w:val="28"/>
        </w:rPr>
        <w:t xml:space="preserve"> et être à l’origine d’une </w:t>
      </w:r>
      <w:r w:rsidRPr="005C339A">
        <w:rPr>
          <w:rFonts w:asciiTheme="minorHAnsi" w:hAnsiTheme="minorHAnsi" w:cs="Arial"/>
          <w:b w:val="0"/>
          <w:sz w:val="28"/>
          <w:szCs w:val="28"/>
        </w:rPr>
        <w:t>toxicité par surdosage</w:t>
      </w:r>
    </w:p>
    <w:p w:rsidR="008D491A" w:rsidRDefault="008D491A" w:rsidP="00A92B10">
      <w:pPr>
        <w:pStyle w:val="Titre1"/>
        <w:numPr>
          <w:ilvl w:val="0"/>
          <w:numId w:val="12"/>
        </w:numPr>
        <w:jc w:val="both"/>
        <w:rPr>
          <w:rFonts w:asciiTheme="minorHAnsi" w:hAnsiTheme="minorHAnsi" w:cs="Arial"/>
          <w:b w:val="0"/>
          <w:sz w:val="28"/>
          <w:szCs w:val="28"/>
        </w:rPr>
      </w:pPr>
      <w:proofErr w:type="gramStart"/>
      <w:r>
        <w:rPr>
          <w:rFonts w:asciiTheme="minorHAnsi" w:hAnsiTheme="minorHAnsi" w:cs="Arial"/>
          <w:b w:val="0"/>
          <w:sz w:val="28"/>
          <w:szCs w:val="28"/>
        </w:rPr>
        <w:t>accélérée</w:t>
      </w:r>
      <w:proofErr w:type="gramEnd"/>
      <w:r>
        <w:rPr>
          <w:rFonts w:asciiTheme="minorHAnsi" w:hAnsiTheme="minorHAnsi" w:cs="Arial"/>
          <w:b w:val="0"/>
          <w:sz w:val="28"/>
          <w:szCs w:val="28"/>
        </w:rPr>
        <w:t xml:space="preserve"> et donner lieu à une</w:t>
      </w:r>
      <w:r w:rsidRPr="005C339A">
        <w:rPr>
          <w:rFonts w:asciiTheme="minorHAnsi" w:hAnsiTheme="minorHAnsi" w:cs="Arial"/>
          <w:b w:val="0"/>
          <w:sz w:val="28"/>
          <w:szCs w:val="28"/>
        </w:rPr>
        <w:t xml:space="preserve"> sous-exposition au principe actif (sous-dosage)</w:t>
      </w:r>
    </w:p>
    <w:p w:rsidR="00A773C1" w:rsidRDefault="00EB13C7" w:rsidP="00A92B10">
      <w:pPr>
        <w:pStyle w:val="Titre1"/>
        <w:jc w:val="both"/>
        <w:rPr>
          <w:rFonts w:asciiTheme="minorHAnsi" w:hAnsiTheme="minorHAnsi" w:cs="Arial"/>
          <w:b w:val="0"/>
          <w:sz w:val="28"/>
          <w:szCs w:val="28"/>
        </w:rPr>
      </w:pPr>
      <w:r>
        <w:rPr>
          <w:rFonts w:asciiTheme="minorHAnsi" w:hAnsiTheme="minorHAnsi" w:cs="Arial"/>
          <w:b w:val="0"/>
          <w:sz w:val="28"/>
          <w:szCs w:val="28"/>
        </w:rPr>
        <w:t xml:space="preserve">D’autres </w:t>
      </w:r>
      <w:r w:rsidR="00A773C1">
        <w:rPr>
          <w:rFonts w:asciiTheme="minorHAnsi" w:hAnsiTheme="minorHAnsi" w:cs="Arial"/>
          <w:b w:val="0"/>
          <w:sz w:val="28"/>
          <w:szCs w:val="28"/>
        </w:rPr>
        <w:t>recherches</w:t>
      </w:r>
      <w:r w:rsidR="004B3B77">
        <w:rPr>
          <w:rFonts w:asciiTheme="minorHAnsi" w:hAnsiTheme="minorHAnsi" w:cs="Arial"/>
          <w:b w:val="0"/>
          <w:sz w:val="28"/>
          <w:szCs w:val="28"/>
        </w:rPr>
        <w:t xml:space="preserve"> </w:t>
      </w:r>
      <w:r w:rsidR="008D4A55">
        <w:rPr>
          <w:rFonts w:asciiTheme="minorHAnsi" w:hAnsiTheme="minorHAnsi" w:cs="Arial"/>
          <w:b w:val="0"/>
          <w:sz w:val="28"/>
          <w:szCs w:val="28"/>
        </w:rPr>
        <w:t xml:space="preserve">sont </w:t>
      </w:r>
      <w:r w:rsidR="00E345A7">
        <w:rPr>
          <w:rFonts w:asciiTheme="minorHAnsi" w:hAnsiTheme="minorHAnsi" w:cs="Arial"/>
          <w:b w:val="0"/>
          <w:sz w:val="28"/>
          <w:szCs w:val="28"/>
        </w:rPr>
        <w:t xml:space="preserve">nécessaires </w:t>
      </w:r>
      <w:r w:rsidR="00A773C1">
        <w:rPr>
          <w:rFonts w:asciiTheme="minorHAnsi" w:hAnsiTheme="minorHAnsi" w:cs="Arial"/>
          <w:b w:val="0"/>
          <w:sz w:val="28"/>
          <w:szCs w:val="28"/>
        </w:rPr>
        <w:t>pour la mise</w:t>
      </w:r>
      <w:r w:rsidR="008D4A55">
        <w:rPr>
          <w:rFonts w:asciiTheme="minorHAnsi" w:hAnsiTheme="minorHAnsi" w:cs="Arial"/>
          <w:b w:val="0"/>
          <w:sz w:val="28"/>
          <w:szCs w:val="28"/>
        </w:rPr>
        <w:t xml:space="preserve"> au point de traitement</w:t>
      </w:r>
      <w:r w:rsidR="008D0CC1">
        <w:rPr>
          <w:rFonts w:asciiTheme="minorHAnsi" w:hAnsiTheme="minorHAnsi" w:cs="Arial"/>
          <w:b w:val="0"/>
          <w:sz w:val="28"/>
          <w:szCs w:val="28"/>
        </w:rPr>
        <w:t>s efficaces</w:t>
      </w:r>
      <w:r>
        <w:rPr>
          <w:rFonts w:asciiTheme="minorHAnsi" w:hAnsiTheme="minorHAnsi" w:cs="Arial"/>
          <w:b w:val="0"/>
          <w:sz w:val="28"/>
          <w:szCs w:val="28"/>
        </w:rPr>
        <w:t xml:space="preserve"> </w:t>
      </w:r>
      <w:r w:rsidR="00A773C1">
        <w:rPr>
          <w:rFonts w:asciiTheme="minorHAnsi" w:hAnsiTheme="minorHAnsi" w:cs="Arial"/>
          <w:b w:val="0"/>
          <w:sz w:val="28"/>
          <w:szCs w:val="28"/>
        </w:rPr>
        <w:t>tout en</w:t>
      </w:r>
      <w:r w:rsidR="008D4A55">
        <w:rPr>
          <w:rFonts w:asciiTheme="minorHAnsi" w:hAnsiTheme="minorHAnsi" w:cs="Arial"/>
          <w:b w:val="0"/>
          <w:sz w:val="28"/>
          <w:szCs w:val="28"/>
        </w:rPr>
        <w:t xml:space="preserve"> </w:t>
      </w:r>
      <w:r w:rsidR="00A773C1">
        <w:rPr>
          <w:rFonts w:asciiTheme="minorHAnsi" w:hAnsiTheme="minorHAnsi" w:cs="Arial"/>
          <w:b w:val="0"/>
          <w:sz w:val="28"/>
          <w:szCs w:val="28"/>
        </w:rPr>
        <w:t xml:space="preserve">minimisant </w:t>
      </w:r>
      <w:r w:rsidR="00143968">
        <w:rPr>
          <w:rFonts w:asciiTheme="minorHAnsi" w:hAnsiTheme="minorHAnsi" w:cs="Arial"/>
          <w:b w:val="0"/>
          <w:sz w:val="28"/>
          <w:szCs w:val="28"/>
        </w:rPr>
        <w:t>les interactions médicamenteuses</w:t>
      </w:r>
      <w:r w:rsidR="00A773C1">
        <w:rPr>
          <w:rFonts w:asciiTheme="minorHAnsi" w:hAnsiTheme="minorHAnsi" w:cs="Arial"/>
          <w:b w:val="0"/>
          <w:sz w:val="28"/>
          <w:szCs w:val="28"/>
        </w:rPr>
        <w:t xml:space="preserve"> potentielles</w:t>
      </w:r>
      <w:r w:rsidR="00143968">
        <w:rPr>
          <w:rFonts w:asciiTheme="minorHAnsi" w:hAnsiTheme="minorHAnsi" w:cs="Arial"/>
          <w:b w:val="0"/>
          <w:sz w:val="28"/>
          <w:szCs w:val="28"/>
        </w:rPr>
        <w:t>.</w:t>
      </w:r>
    </w:p>
    <w:p w:rsidR="00783A78" w:rsidRPr="0079166B" w:rsidRDefault="00255418" w:rsidP="00A92B10">
      <w:pPr>
        <w:pStyle w:val="Titre1"/>
        <w:jc w:val="both"/>
        <w:rPr>
          <w:rFonts w:asciiTheme="minorHAnsi" w:hAnsiTheme="minorHAnsi" w:cs="Arial"/>
          <w:b w:val="0"/>
          <w:sz w:val="28"/>
          <w:szCs w:val="28"/>
        </w:rPr>
      </w:pPr>
      <w:r>
        <w:rPr>
          <w:rFonts w:asciiTheme="minorHAnsi" w:hAnsiTheme="minorHAnsi" w:cs="Arial"/>
          <w:b w:val="0"/>
          <w:sz w:val="28"/>
          <w:szCs w:val="28"/>
        </w:rPr>
        <w:t xml:space="preserve">La liste des contre-indications liées à ce traitement </w:t>
      </w:r>
      <w:r w:rsidR="008D491A">
        <w:rPr>
          <w:rFonts w:asciiTheme="minorHAnsi" w:hAnsiTheme="minorHAnsi" w:cs="Arial"/>
          <w:b w:val="0"/>
          <w:sz w:val="28"/>
          <w:szCs w:val="28"/>
        </w:rPr>
        <w:t>est</w:t>
      </w:r>
      <w:r>
        <w:rPr>
          <w:rFonts w:asciiTheme="minorHAnsi" w:hAnsiTheme="minorHAnsi" w:cs="Arial"/>
          <w:b w:val="0"/>
          <w:sz w:val="28"/>
          <w:szCs w:val="28"/>
        </w:rPr>
        <w:t xml:space="preserve"> disponible dans </w:t>
      </w:r>
      <w:hyperlink r:id="rId10" w:history="1">
        <w:r w:rsidRPr="00A92B10">
          <w:rPr>
            <w:rStyle w:val="Lienhypertexte"/>
            <w:rFonts w:asciiTheme="minorHAnsi" w:hAnsiTheme="minorHAnsi" w:cs="Arial"/>
            <w:b w:val="0"/>
            <w:color w:val="auto"/>
            <w:sz w:val="28"/>
            <w:szCs w:val="28"/>
            <w:u w:val="none"/>
          </w:rPr>
          <w:t xml:space="preserve">le </w:t>
        </w:r>
        <w:r w:rsidRPr="00FE29BA">
          <w:rPr>
            <w:rStyle w:val="Lienhypertexte"/>
            <w:rFonts w:asciiTheme="minorHAnsi" w:hAnsiTheme="minorHAnsi" w:cs="Arial"/>
            <w:b w:val="0"/>
            <w:color w:val="0000FF"/>
            <w:sz w:val="28"/>
            <w:szCs w:val="28"/>
          </w:rPr>
          <w:t>résumé des caractéristiques du produit</w:t>
        </w:r>
      </w:hyperlink>
      <w:r w:rsidRPr="00A92B10">
        <w:rPr>
          <w:rFonts w:asciiTheme="minorHAnsi" w:hAnsiTheme="minorHAnsi" w:cs="Arial"/>
          <w:b w:val="0"/>
          <w:sz w:val="28"/>
          <w:szCs w:val="28"/>
        </w:rPr>
        <w:t xml:space="preserve"> </w:t>
      </w:r>
      <w:r>
        <w:rPr>
          <w:rFonts w:asciiTheme="minorHAnsi" w:hAnsiTheme="minorHAnsi" w:cs="Arial"/>
          <w:b w:val="0"/>
          <w:sz w:val="28"/>
          <w:szCs w:val="28"/>
        </w:rPr>
        <w:t>(notice) lors de sa mise à disposition.</w:t>
      </w:r>
    </w:p>
    <w:p w:rsidR="0015121C" w:rsidRPr="001E2B51" w:rsidRDefault="0015121C" w:rsidP="001B7CB2">
      <w:pPr>
        <w:pStyle w:val="Titre1"/>
        <w:numPr>
          <w:ilvl w:val="0"/>
          <w:numId w:val="1"/>
        </w:numPr>
        <w:rPr>
          <w:rFonts w:asciiTheme="minorHAnsi" w:eastAsiaTheme="minorHAnsi" w:hAnsiTheme="minorHAnsi" w:cs="Arial"/>
          <w:bCs w:val="0"/>
          <w:kern w:val="0"/>
          <w:sz w:val="28"/>
          <w:szCs w:val="28"/>
          <w:lang w:eastAsia="en-US"/>
        </w:rPr>
      </w:pPr>
      <w:r w:rsidRPr="001E2B51">
        <w:rPr>
          <w:rFonts w:asciiTheme="minorHAnsi" w:hAnsiTheme="minorHAnsi" w:cs="Arial"/>
          <w:sz w:val="28"/>
          <w:szCs w:val="28"/>
        </w:rPr>
        <w:t>Combien de personnes pourront</w:t>
      </w:r>
      <w:r w:rsidR="00483910">
        <w:rPr>
          <w:rFonts w:asciiTheme="minorHAnsi" w:hAnsiTheme="minorHAnsi" w:cs="Arial"/>
          <w:sz w:val="28"/>
          <w:szCs w:val="28"/>
        </w:rPr>
        <w:t>-t-elles</w:t>
      </w:r>
      <w:r w:rsidRPr="001E2B51">
        <w:rPr>
          <w:rFonts w:asciiTheme="minorHAnsi" w:hAnsiTheme="minorHAnsi" w:cs="Arial"/>
          <w:sz w:val="28"/>
          <w:szCs w:val="28"/>
        </w:rPr>
        <w:t xml:space="preserve"> bénéficier de ces médica</w:t>
      </w:r>
      <w:r w:rsidRPr="001E2B51">
        <w:rPr>
          <w:rFonts w:asciiTheme="minorHAnsi" w:eastAsiaTheme="minorHAnsi" w:hAnsiTheme="minorHAnsi" w:cs="Arial"/>
          <w:bCs w:val="0"/>
          <w:kern w:val="0"/>
          <w:sz w:val="28"/>
          <w:szCs w:val="28"/>
          <w:lang w:eastAsia="en-US"/>
        </w:rPr>
        <w:t>ments</w:t>
      </w:r>
      <w:r w:rsidR="00483910">
        <w:rPr>
          <w:rFonts w:asciiTheme="minorHAnsi" w:eastAsiaTheme="minorHAnsi" w:hAnsiTheme="minorHAnsi" w:cs="Arial"/>
          <w:bCs w:val="0"/>
          <w:kern w:val="0"/>
          <w:sz w:val="28"/>
          <w:szCs w:val="28"/>
          <w:lang w:eastAsia="en-US"/>
        </w:rPr>
        <w:t xml:space="preserve"> en France</w:t>
      </w:r>
      <w:r w:rsidRPr="001E2B51">
        <w:rPr>
          <w:rFonts w:asciiTheme="minorHAnsi" w:eastAsiaTheme="minorHAnsi" w:hAnsiTheme="minorHAnsi" w:cs="Arial"/>
          <w:bCs w:val="0"/>
          <w:kern w:val="0"/>
          <w:sz w:val="28"/>
          <w:szCs w:val="28"/>
          <w:lang w:eastAsia="en-US"/>
        </w:rPr>
        <w:t> ?</w:t>
      </w:r>
    </w:p>
    <w:p w:rsidR="00143E22" w:rsidRPr="008D0CC1" w:rsidRDefault="00483910" w:rsidP="001E2B51">
      <w:pPr>
        <w:jc w:val="both"/>
        <w:rPr>
          <w:rFonts w:cs="Arial"/>
          <w:sz w:val="28"/>
          <w:szCs w:val="28"/>
        </w:rPr>
      </w:pPr>
      <w:r>
        <w:rPr>
          <w:rFonts w:cs="Arial"/>
          <w:sz w:val="28"/>
          <w:szCs w:val="28"/>
        </w:rPr>
        <w:t>S</w:t>
      </w:r>
      <w:r w:rsidR="00D00714" w:rsidRPr="001E2B51">
        <w:rPr>
          <w:rFonts w:cs="Arial"/>
          <w:sz w:val="28"/>
          <w:szCs w:val="28"/>
        </w:rPr>
        <w:t xml:space="preserve">elon les données du </w:t>
      </w:r>
      <w:r w:rsidR="002628CD">
        <w:rPr>
          <w:rFonts w:cs="Arial"/>
          <w:sz w:val="28"/>
          <w:szCs w:val="28"/>
        </w:rPr>
        <w:t>R</w:t>
      </w:r>
      <w:r w:rsidR="002628CD" w:rsidRPr="001E2B51">
        <w:rPr>
          <w:rFonts w:cs="Arial"/>
          <w:sz w:val="28"/>
          <w:szCs w:val="28"/>
        </w:rPr>
        <w:t xml:space="preserve">egistre </w:t>
      </w:r>
      <w:r w:rsidR="00D00714" w:rsidRPr="001E2B51">
        <w:rPr>
          <w:rFonts w:cs="Arial"/>
          <w:sz w:val="28"/>
          <w:szCs w:val="28"/>
        </w:rPr>
        <w:t xml:space="preserve">français de la mucoviscidose, </w:t>
      </w:r>
      <w:r w:rsidR="001E2B51" w:rsidRPr="001E2B51">
        <w:rPr>
          <w:rFonts w:cs="Arial"/>
          <w:sz w:val="28"/>
          <w:szCs w:val="28"/>
        </w:rPr>
        <w:t xml:space="preserve">on compte près de </w:t>
      </w:r>
      <w:r w:rsidR="00A773C1">
        <w:rPr>
          <w:rFonts w:cs="Arial"/>
          <w:sz w:val="28"/>
          <w:szCs w:val="28"/>
        </w:rPr>
        <w:t>2</w:t>
      </w:r>
      <w:r w:rsidR="009A5DCB">
        <w:rPr>
          <w:rFonts w:cs="Arial"/>
          <w:sz w:val="28"/>
          <w:szCs w:val="28"/>
        </w:rPr>
        <w:t xml:space="preserve"> </w:t>
      </w:r>
      <w:r w:rsidR="001E2B51" w:rsidRPr="001E2B51">
        <w:rPr>
          <w:rFonts w:cs="Arial"/>
          <w:sz w:val="28"/>
          <w:szCs w:val="28"/>
        </w:rPr>
        <w:t xml:space="preserve">000 patients homozygotes </w:t>
      </w:r>
      <w:r w:rsidR="00CF6E04">
        <w:rPr>
          <w:rFonts w:cs="Arial"/>
          <w:sz w:val="28"/>
          <w:szCs w:val="28"/>
        </w:rPr>
        <w:t>F508del</w:t>
      </w:r>
      <w:r>
        <w:rPr>
          <w:rFonts w:cs="Arial"/>
          <w:sz w:val="28"/>
          <w:szCs w:val="28"/>
        </w:rPr>
        <w:t xml:space="preserve"> </w:t>
      </w:r>
      <w:r w:rsidR="00A773C1">
        <w:rPr>
          <w:rFonts w:cs="Arial"/>
          <w:sz w:val="28"/>
          <w:szCs w:val="28"/>
        </w:rPr>
        <w:t xml:space="preserve">âgés de 12 ans et plus </w:t>
      </w:r>
      <w:r>
        <w:rPr>
          <w:rFonts w:cs="Arial"/>
          <w:sz w:val="28"/>
          <w:szCs w:val="28"/>
        </w:rPr>
        <w:t>en France</w:t>
      </w:r>
      <w:r w:rsidR="001E2B51" w:rsidRPr="001E2B51">
        <w:rPr>
          <w:rFonts w:cs="Arial"/>
          <w:sz w:val="28"/>
          <w:szCs w:val="28"/>
        </w:rPr>
        <w:t xml:space="preserve">, </w:t>
      </w:r>
      <w:r w:rsidR="001E2B51" w:rsidRPr="008D0CC1">
        <w:rPr>
          <w:rFonts w:cs="Arial"/>
          <w:sz w:val="28"/>
          <w:szCs w:val="28"/>
        </w:rPr>
        <w:t xml:space="preserve"> </w:t>
      </w:r>
      <w:r w:rsidR="00A773C1">
        <w:rPr>
          <w:rFonts w:cs="Arial"/>
          <w:sz w:val="28"/>
          <w:szCs w:val="28"/>
        </w:rPr>
        <w:t>parmi lesquels on estime à</w:t>
      </w:r>
      <w:r w:rsidR="00A773C1" w:rsidRPr="008D0CC1">
        <w:rPr>
          <w:rFonts w:cs="Arial"/>
          <w:sz w:val="28"/>
          <w:szCs w:val="28"/>
        </w:rPr>
        <w:t xml:space="preserve"> </w:t>
      </w:r>
      <w:r w:rsidR="001E2B51" w:rsidRPr="008D0CC1">
        <w:rPr>
          <w:rFonts w:cs="Arial"/>
          <w:sz w:val="28"/>
          <w:szCs w:val="28"/>
        </w:rPr>
        <w:t xml:space="preserve">environ </w:t>
      </w:r>
      <w:r w:rsidR="00A773C1">
        <w:rPr>
          <w:rFonts w:cs="Arial"/>
          <w:sz w:val="28"/>
          <w:szCs w:val="28"/>
        </w:rPr>
        <w:t>1</w:t>
      </w:r>
      <w:r w:rsidR="009A5DCB">
        <w:rPr>
          <w:rFonts w:cs="Arial"/>
          <w:sz w:val="28"/>
          <w:szCs w:val="28"/>
        </w:rPr>
        <w:t xml:space="preserve"> </w:t>
      </w:r>
      <w:r w:rsidR="00A773C1">
        <w:rPr>
          <w:rFonts w:cs="Arial"/>
          <w:sz w:val="28"/>
          <w:szCs w:val="28"/>
        </w:rPr>
        <w:t>5</w:t>
      </w:r>
      <w:r w:rsidR="00A773C1" w:rsidRPr="008D0CC1">
        <w:rPr>
          <w:rFonts w:cs="Arial"/>
          <w:sz w:val="28"/>
          <w:szCs w:val="28"/>
        </w:rPr>
        <w:t>00</w:t>
      </w:r>
      <w:r w:rsidR="00A773C1">
        <w:rPr>
          <w:rFonts w:cs="Arial"/>
          <w:sz w:val="28"/>
          <w:szCs w:val="28"/>
        </w:rPr>
        <w:t xml:space="preserve"> le nombre des patients potentiellement concernés par ce t</w:t>
      </w:r>
      <w:r w:rsidR="006B4161">
        <w:rPr>
          <w:rFonts w:cs="Arial"/>
          <w:sz w:val="28"/>
          <w:szCs w:val="28"/>
        </w:rPr>
        <w:t>r</w:t>
      </w:r>
      <w:r w:rsidR="00A773C1">
        <w:rPr>
          <w:rFonts w:cs="Arial"/>
          <w:sz w:val="28"/>
          <w:szCs w:val="28"/>
        </w:rPr>
        <w:t>aitement.</w:t>
      </w:r>
    </w:p>
    <w:p w:rsidR="007574B9" w:rsidRPr="000D1F53" w:rsidRDefault="007574B9" w:rsidP="007574B9">
      <w:pPr>
        <w:pStyle w:val="Titre1"/>
        <w:numPr>
          <w:ilvl w:val="0"/>
          <w:numId w:val="1"/>
        </w:numPr>
        <w:rPr>
          <w:rFonts w:asciiTheme="minorHAnsi" w:hAnsiTheme="minorHAnsi" w:cs="Arial"/>
          <w:sz w:val="28"/>
          <w:szCs w:val="28"/>
        </w:rPr>
      </w:pPr>
      <w:r w:rsidRPr="000D1F53">
        <w:rPr>
          <w:rFonts w:asciiTheme="minorHAnsi" w:hAnsiTheme="minorHAnsi" w:cs="Arial"/>
          <w:sz w:val="28"/>
          <w:szCs w:val="28"/>
        </w:rPr>
        <w:t xml:space="preserve">Comment se sont déroulés </w:t>
      </w:r>
      <w:r w:rsidR="004B3B77">
        <w:rPr>
          <w:rFonts w:asciiTheme="minorHAnsi" w:hAnsiTheme="minorHAnsi" w:cs="Arial"/>
          <w:sz w:val="28"/>
          <w:szCs w:val="28"/>
        </w:rPr>
        <w:t>l</w:t>
      </w:r>
      <w:r w:rsidRPr="000D1F53">
        <w:rPr>
          <w:rFonts w:asciiTheme="minorHAnsi" w:hAnsiTheme="minorHAnsi" w:cs="Arial"/>
          <w:sz w:val="28"/>
          <w:szCs w:val="28"/>
        </w:rPr>
        <w:t xml:space="preserve">es deux </w:t>
      </w:r>
      <w:r w:rsidR="004B3B77">
        <w:rPr>
          <w:rFonts w:asciiTheme="minorHAnsi" w:hAnsiTheme="minorHAnsi" w:cs="Arial"/>
          <w:sz w:val="28"/>
          <w:szCs w:val="28"/>
        </w:rPr>
        <w:t>essais cliniques</w:t>
      </w:r>
      <w:r w:rsidR="004B3B77" w:rsidRPr="000D1F53">
        <w:rPr>
          <w:rFonts w:asciiTheme="minorHAnsi" w:hAnsiTheme="minorHAnsi" w:cs="Arial"/>
          <w:sz w:val="28"/>
          <w:szCs w:val="28"/>
        </w:rPr>
        <w:t> </w:t>
      </w:r>
      <w:r>
        <w:rPr>
          <w:rFonts w:asciiTheme="minorHAnsi" w:hAnsiTheme="minorHAnsi" w:cs="Arial"/>
          <w:sz w:val="28"/>
          <w:szCs w:val="28"/>
        </w:rPr>
        <w:t xml:space="preserve">de phase 3 </w:t>
      </w:r>
      <w:r w:rsidRPr="000D1F53">
        <w:rPr>
          <w:rFonts w:asciiTheme="minorHAnsi" w:hAnsiTheme="minorHAnsi" w:cs="Arial"/>
          <w:sz w:val="28"/>
          <w:szCs w:val="28"/>
        </w:rPr>
        <w:t>?</w:t>
      </w:r>
    </w:p>
    <w:p w:rsidR="007574B9" w:rsidRPr="00417A11" w:rsidRDefault="007574B9" w:rsidP="007574B9">
      <w:pPr>
        <w:pStyle w:val="NormalWeb"/>
        <w:jc w:val="both"/>
        <w:rPr>
          <w:rFonts w:asciiTheme="minorHAnsi" w:hAnsiTheme="minorHAnsi" w:cs="Arial"/>
          <w:sz w:val="28"/>
          <w:szCs w:val="28"/>
        </w:rPr>
      </w:pPr>
      <w:r>
        <w:rPr>
          <w:rFonts w:asciiTheme="minorHAnsi" w:hAnsiTheme="minorHAnsi" w:cs="Arial"/>
          <w:sz w:val="28"/>
          <w:szCs w:val="28"/>
        </w:rPr>
        <w:t>Les</w:t>
      </w:r>
      <w:r w:rsidRPr="00417A11">
        <w:rPr>
          <w:rFonts w:asciiTheme="minorHAnsi" w:hAnsiTheme="minorHAnsi" w:cs="Arial"/>
          <w:sz w:val="28"/>
          <w:szCs w:val="28"/>
        </w:rPr>
        <w:t xml:space="preserve"> </w:t>
      </w:r>
      <w:r w:rsidR="004B3B77">
        <w:rPr>
          <w:rFonts w:asciiTheme="minorHAnsi" w:hAnsiTheme="minorHAnsi" w:cs="Arial"/>
          <w:sz w:val="28"/>
          <w:szCs w:val="28"/>
        </w:rPr>
        <w:t>essais</w:t>
      </w:r>
      <w:r w:rsidR="004B3B77" w:rsidRPr="00417A11">
        <w:rPr>
          <w:rFonts w:asciiTheme="minorHAnsi" w:hAnsiTheme="minorHAnsi" w:cs="Arial"/>
          <w:sz w:val="28"/>
          <w:szCs w:val="28"/>
        </w:rPr>
        <w:t xml:space="preserve"> </w:t>
      </w:r>
      <w:r w:rsidRPr="00417A11">
        <w:rPr>
          <w:rFonts w:asciiTheme="minorHAnsi" w:hAnsiTheme="minorHAnsi" w:cs="Arial"/>
          <w:sz w:val="28"/>
          <w:szCs w:val="28"/>
        </w:rPr>
        <w:t xml:space="preserve">de phase 3 </w:t>
      </w:r>
      <w:r>
        <w:rPr>
          <w:rFonts w:asciiTheme="minorHAnsi" w:hAnsiTheme="minorHAnsi" w:cs="Arial"/>
          <w:sz w:val="28"/>
          <w:szCs w:val="28"/>
        </w:rPr>
        <w:t>(TRAFFIC et TRANSPORT) portant sur la combinaison d’</w:t>
      </w:r>
      <w:r w:rsidRPr="00417A11">
        <w:rPr>
          <w:rFonts w:asciiTheme="minorHAnsi" w:hAnsiTheme="minorHAnsi" w:cs="Arial"/>
          <w:sz w:val="28"/>
          <w:szCs w:val="28"/>
        </w:rPr>
        <w:t xml:space="preserve">ivacaftor et </w:t>
      </w:r>
      <w:r w:rsidR="00783A78">
        <w:rPr>
          <w:rFonts w:asciiTheme="minorHAnsi" w:hAnsiTheme="minorHAnsi" w:cs="Arial"/>
          <w:sz w:val="28"/>
          <w:szCs w:val="28"/>
        </w:rPr>
        <w:t xml:space="preserve">de </w:t>
      </w:r>
      <w:r w:rsidRPr="00417A11">
        <w:rPr>
          <w:rFonts w:asciiTheme="minorHAnsi" w:hAnsiTheme="minorHAnsi" w:cs="Arial"/>
          <w:sz w:val="28"/>
          <w:szCs w:val="28"/>
        </w:rPr>
        <w:t xml:space="preserve">lumacaftor </w:t>
      </w:r>
      <w:r w:rsidR="00D46DCF">
        <w:rPr>
          <w:rFonts w:asciiTheme="minorHAnsi" w:hAnsiTheme="minorHAnsi" w:cs="Arial"/>
          <w:sz w:val="28"/>
          <w:szCs w:val="28"/>
        </w:rPr>
        <w:t xml:space="preserve">se sont </w:t>
      </w:r>
      <w:r w:rsidR="0009629A" w:rsidRPr="00417A11">
        <w:rPr>
          <w:rFonts w:asciiTheme="minorHAnsi" w:hAnsiTheme="minorHAnsi" w:cs="Arial"/>
          <w:sz w:val="28"/>
          <w:szCs w:val="28"/>
        </w:rPr>
        <w:t>achev</w:t>
      </w:r>
      <w:r w:rsidR="0009629A">
        <w:rPr>
          <w:rFonts w:asciiTheme="minorHAnsi" w:hAnsiTheme="minorHAnsi" w:cs="Arial"/>
          <w:sz w:val="28"/>
          <w:szCs w:val="28"/>
        </w:rPr>
        <w:t>és</w:t>
      </w:r>
      <w:r w:rsidR="00D46DCF">
        <w:rPr>
          <w:rFonts w:asciiTheme="minorHAnsi" w:hAnsiTheme="minorHAnsi" w:cs="Arial"/>
          <w:sz w:val="28"/>
          <w:szCs w:val="28"/>
        </w:rPr>
        <w:t xml:space="preserve"> début 2014</w:t>
      </w:r>
      <w:r w:rsidRPr="00417A11">
        <w:rPr>
          <w:rFonts w:asciiTheme="minorHAnsi" w:hAnsiTheme="minorHAnsi" w:cs="Arial"/>
          <w:sz w:val="28"/>
          <w:szCs w:val="28"/>
        </w:rPr>
        <w:t xml:space="preserve">. </w:t>
      </w:r>
      <w:r w:rsidR="00887DC5">
        <w:rPr>
          <w:rFonts w:asciiTheme="minorHAnsi" w:hAnsiTheme="minorHAnsi" w:cs="Arial"/>
          <w:sz w:val="28"/>
          <w:szCs w:val="28"/>
        </w:rPr>
        <w:t>Ils</w:t>
      </w:r>
      <w:r w:rsidR="00887DC5" w:rsidRPr="00417A11">
        <w:rPr>
          <w:rFonts w:asciiTheme="minorHAnsi" w:hAnsiTheme="minorHAnsi" w:cs="Arial"/>
          <w:sz w:val="28"/>
          <w:szCs w:val="28"/>
        </w:rPr>
        <w:t xml:space="preserve"> </w:t>
      </w:r>
      <w:r>
        <w:rPr>
          <w:rFonts w:asciiTheme="minorHAnsi" w:hAnsiTheme="minorHAnsi" w:cs="Arial"/>
          <w:sz w:val="28"/>
          <w:szCs w:val="28"/>
        </w:rPr>
        <w:t>ont concerné</w:t>
      </w:r>
      <w:r w:rsidRPr="00417A11">
        <w:rPr>
          <w:rFonts w:asciiTheme="minorHAnsi" w:hAnsiTheme="minorHAnsi" w:cs="Arial"/>
          <w:sz w:val="28"/>
          <w:szCs w:val="28"/>
        </w:rPr>
        <w:t xml:space="preserve"> plus de 1</w:t>
      </w:r>
      <w:r w:rsidR="009A5DCB">
        <w:rPr>
          <w:rFonts w:asciiTheme="minorHAnsi" w:hAnsiTheme="minorHAnsi" w:cs="Arial"/>
          <w:sz w:val="28"/>
          <w:szCs w:val="28"/>
        </w:rPr>
        <w:t xml:space="preserve"> </w:t>
      </w:r>
      <w:r w:rsidRPr="00417A11">
        <w:rPr>
          <w:rFonts w:asciiTheme="minorHAnsi" w:hAnsiTheme="minorHAnsi" w:cs="Arial"/>
          <w:sz w:val="28"/>
          <w:szCs w:val="28"/>
        </w:rPr>
        <w:t xml:space="preserve">000 patients de 12 ans et plus, homozygotes pour la mutation </w:t>
      </w:r>
      <w:r w:rsidR="00CF6E04">
        <w:rPr>
          <w:rFonts w:asciiTheme="minorHAnsi" w:hAnsiTheme="minorHAnsi" w:cs="Arial"/>
          <w:sz w:val="28"/>
          <w:szCs w:val="28"/>
        </w:rPr>
        <w:t>F508del</w:t>
      </w:r>
      <w:r w:rsidRPr="00417A11">
        <w:rPr>
          <w:rFonts w:asciiTheme="minorHAnsi" w:hAnsiTheme="minorHAnsi" w:cs="Arial"/>
          <w:sz w:val="28"/>
          <w:szCs w:val="28"/>
        </w:rPr>
        <w:t xml:space="preserve"> en Amérique du Nord, en Europe et en Australie. </w:t>
      </w:r>
      <w:r w:rsidR="00CA2901">
        <w:rPr>
          <w:rFonts w:asciiTheme="minorHAnsi" w:hAnsiTheme="minorHAnsi" w:cs="Arial"/>
          <w:sz w:val="28"/>
          <w:szCs w:val="28"/>
        </w:rPr>
        <w:t xml:space="preserve">En France, </w:t>
      </w:r>
      <w:r w:rsidRPr="00417A11">
        <w:rPr>
          <w:rFonts w:asciiTheme="minorHAnsi" w:hAnsiTheme="minorHAnsi" w:cs="Arial"/>
          <w:sz w:val="28"/>
          <w:szCs w:val="28"/>
        </w:rPr>
        <w:t xml:space="preserve">75 patients dans 12 CRCM ont été inclus dans ces </w:t>
      </w:r>
      <w:r w:rsidR="004B3B77">
        <w:rPr>
          <w:rFonts w:asciiTheme="minorHAnsi" w:hAnsiTheme="minorHAnsi" w:cs="Arial"/>
          <w:sz w:val="28"/>
          <w:szCs w:val="28"/>
        </w:rPr>
        <w:t>essais</w:t>
      </w:r>
      <w:r w:rsidRPr="00417A11">
        <w:rPr>
          <w:rFonts w:asciiTheme="minorHAnsi" w:hAnsiTheme="minorHAnsi" w:cs="Arial"/>
          <w:sz w:val="28"/>
          <w:szCs w:val="28"/>
        </w:rPr>
        <w:t>. Durant 24 semaines, les patients recevaient</w:t>
      </w:r>
      <w:r>
        <w:rPr>
          <w:rFonts w:asciiTheme="minorHAnsi" w:hAnsiTheme="minorHAnsi" w:cs="Arial"/>
          <w:sz w:val="28"/>
          <w:szCs w:val="28"/>
        </w:rPr>
        <w:t xml:space="preserve"> </w:t>
      </w:r>
      <w:r w:rsidRPr="00417A11">
        <w:rPr>
          <w:rFonts w:asciiTheme="minorHAnsi" w:hAnsiTheme="minorHAnsi" w:cs="Arial"/>
          <w:sz w:val="28"/>
          <w:szCs w:val="28"/>
        </w:rPr>
        <w:t>ivacaftor (250 mg, 2 fois par jour</w:t>
      </w:r>
      <w:r>
        <w:rPr>
          <w:rFonts w:asciiTheme="minorHAnsi" w:hAnsiTheme="minorHAnsi" w:cs="Arial"/>
          <w:sz w:val="28"/>
          <w:szCs w:val="28"/>
        </w:rPr>
        <w:t>) et</w:t>
      </w:r>
      <w:r w:rsidRPr="00417A11">
        <w:rPr>
          <w:rFonts w:asciiTheme="minorHAnsi" w:hAnsiTheme="minorHAnsi" w:cs="Arial"/>
          <w:sz w:val="28"/>
          <w:szCs w:val="28"/>
        </w:rPr>
        <w:t xml:space="preserve"> lumacaftor (600 mg ou 400 mg, 2 fois par jour) ou du placebo</w:t>
      </w:r>
      <w:r w:rsidR="00143E22">
        <w:rPr>
          <w:rStyle w:val="Appelnotedebasdep"/>
          <w:rFonts w:asciiTheme="minorHAnsi" w:hAnsiTheme="minorHAnsi" w:cs="Arial"/>
          <w:sz w:val="28"/>
          <w:szCs w:val="28"/>
        </w:rPr>
        <w:footnoteReference w:id="3"/>
      </w:r>
      <w:r w:rsidRPr="00417A11">
        <w:rPr>
          <w:rFonts w:asciiTheme="minorHAnsi" w:hAnsiTheme="minorHAnsi" w:cs="Arial"/>
          <w:sz w:val="28"/>
          <w:szCs w:val="28"/>
        </w:rPr>
        <w:t>.</w:t>
      </w:r>
    </w:p>
    <w:p w:rsidR="00D20EE7" w:rsidRPr="000D1F53" w:rsidRDefault="00A773C1" w:rsidP="007574B9">
      <w:pPr>
        <w:pStyle w:val="Titre1"/>
        <w:numPr>
          <w:ilvl w:val="0"/>
          <w:numId w:val="1"/>
        </w:numPr>
        <w:rPr>
          <w:rFonts w:asciiTheme="minorHAnsi" w:hAnsiTheme="minorHAnsi" w:cs="Arial"/>
          <w:sz w:val="28"/>
          <w:szCs w:val="28"/>
        </w:rPr>
      </w:pPr>
      <w:r>
        <w:rPr>
          <w:rFonts w:asciiTheme="minorHAnsi" w:hAnsiTheme="minorHAnsi" w:cs="Arial"/>
          <w:sz w:val="28"/>
          <w:szCs w:val="28"/>
        </w:rPr>
        <w:t>Que montrent ces</w:t>
      </w:r>
      <w:r w:rsidR="00D20EE7" w:rsidRPr="000D1F53">
        <w:rPr>
          <w:rFonts w:asciiTheme="minorHAnsi" w:hAnsiTheme="minorHAnsi" w:cs="Arial"/>
          <w:sz w:val="28"/>
          <w:szCs w:val="28"/>
        </w:rPr>
        <w:t xml:space="preserve"> résultats?</w:t>
      </w:r>
    </w:p>
    <w:p w:rsidR="00417A11" w:rsidRDefault="00417A11" w:rsidP="00417A11">
      <w:pPr>
        <w:pStyle w:val="NormalWeb"/>
        <w:jc w:val="both"/>
        <w:rPr>
          <w:rFonts w:asciiTheme="minorHAnsi" w:hAnsiTheme="minorHAnsi" w:cs="Arial"/>
          <w:sz w:val="28"/>
          <w:szCs w:val="28"/>
        </w:rPr>
      </w:pPr>
      <w:r w:rsidRPr="00417A11">
        <w:rPr>
          <w:rFonts w:asciiTheme="minorHAnsi" w:hAnsiTheme="minorHAnsi" w:cs="Arial"/>
          <w:sz w:val="28"/>
          <w:szCs w:val="28"/>
        </w:rPr>
        <w:t xml:space="preserve">Les résultats disponibles aujourd’hui font état d’une amélioration </w:t>
      </w:r>
      <w:r w:rsidR="00483910">
        <w:rPr>
          <w:rFonts w:asciiTheme="minorHAnsi" w:hAnsiTheme="minorHAnsi" w:cs="Arial"/>
          <w:sz w:val="28"/>
          <w:szCs w:val="28"/>
        </w:rPr>
        <w:t xml:space="preserve">modeste mais </w:t>
      </w:r>
      <w:r w:rsidRPr="00417A11">
        <w:rPr>
          <w:rFonts w:asciiTheme="minorHAnsi" w:hAnsiTheme="minorHAnsi" w:cs="Arial"/>
          <w:sz w:val="28"/>
          <w:szCs w:val="28"/>
        </w:rPr>
        <w:t>significative de la fonction re</w:t>
      </w:r>
      <w:r>
        <w:rPr>
          <w:rFonts w:asciiTheme="minorHAnsi" w:hAnsiTheme="minorHAnsi" w:cs="Arial"/>
          <w:sz w:val="28"/>
          <w:szCs w:val="28"/>
        </w:rPr>
        <w:t>spiratoire</w:t>
      </w:r>
      <w:r w:rsidR="007574B9">
        <w:rPr>
          <w:rFonts w:asciiTheme="minorHAnsi" w:hAnsiTheme="minorHAnsi" w:cs="Arial"/>
          <w:sz w:val="28"/>
          <w:szCs w:val="28"/>
        </w:rPr>
        <w:t xml:space="preserve"> </w:t>
      </w:r>
      <w:r w:rsidR="00CA2901">
        <w:rPr>
          <w:rFonts w:asciiTheme="minorHAnsi" w:hAnsiTheme="minorHAnsi" w:cs="Arial"/>
          <w:sz w:val="28"/>
          <w:szCs w:val="28"/>
        </w:rPr>
        <w:t>par la mesure du v</w:t>
      </w:r>
      <w:r w:rsidR="00CA2901" w:rsidRPr="00417A11">
        <w:rPr>
          <w:rFonts w:asciiTheme="minorHAnsi" w:hAnsiTheme="minorHAnsi" w:cs="Arial"/>
          <w:sz w:val="28"/>
          <w:szCs w:val="28"/>
        </w:rPr>
        <w:t xml:space="preserve">olume expiratoire maximal </w:t>
      </w:r>
      <w:r w:rsidR="00E96DFF">
        <w:rPr>
          <w:rFonts w:asciiTheme="minorHAnsi" w:hAnsiTheme="minorHAnsi" w:cs="Arial"/>
          <w:sz w:val="28"/>
          <w:szCs w:val="28"/>
        </w:rPr>
        <w:t>à la première</w:t>
      </w:r>
      <w:r w:rsidR="00E96DFF" w:rsidRPr="00417A11">
        <w:rPr>
          <w:rFonts w:asciiTheme="minorHAnsi" w:hAnsiTheme="minorHAnsi" w:cs="Arial"/>
          <w:sz w:val="28"/>
          <w:szCs w:val="28"/>
        </w:rPr>
        <w:t xml:space="preserve"> </w:t>
      </w:r>
      <w:r w:rsidR="00CA2901" w:rsidRPr="00417A11">
        <w:rPr>
          <w:rFonts w:asciiTheme="minorHAnsi" w:hAnsiTheme="minorHAnsi" w:cs="Arial"/>
          <w:sz w:val="28"/>
          <w:szCs w:val="28"/>
        </w:rPr>
        <w:t>seconde</w:t>
      </w:r>
      <w:r w:rsidR="00CA2901">
        <w:rPr>
          <w:rFonts w:asciiTheme="minorHAnsi" w:hAnsiTheme="minorHAnsi" w:cs="Arial"/>
          <w:sz w:val="28"/>
          <w:szCs w:val="28"/>
        </w:rPr>
        <w:t xml:space="preserve"> (VEMS) </w:t>
      </w:r>
      <w:r w:rsidR="007574B9">
        <w:rPr>
          <w:rFonts w:asciiTheme="minorHAnsi" w:hAnsiTheme="minorHAnsi" w:cs="Arial"/>
          <w:sz w:val="28"/>
          <w:szCs w:val="28"/>
        </w:rPr>
        <w:t xml:space="preserve">dans tous les groupes </w:t>
      </w:r>
      <w:r w:rsidR="00483910">
        <w:rPr>
          <w:rFonts w:asciiTheme="minorHAnsi" w:hAnsiTheme="minorHAnsi" w:cs="Arial"/>
          <w:sz w:val="28"/>
          <w:szCs w:val="28"/>
        </w:rPr>
        <w:t xml:space="preserve">de malades </w:t>
      </w:r>
      <w:r w:rsidR="007574B9">
        <w:rPr>
          <w:rFonts w:asciiTheme="minorHAnsi" w:hAnsiTheme="minorHAnsi" w:cs="Arial"/>
          <w:sz w:val="28"/>
          <w:szCs w:val="28"/>
        </w:rPr>
        <w:t>ayant reçu un traitement par rapport aux groupes ayant reçu un placebo</w:t>
      </w:r>
      <w:r>
        <w:rPr>
          <w:rFonts w:asciiTheme="minorHAnsi" w:hAnsiTheme="minorHAnsi" w:cs="Arial"/>
          <w:sz w:val="28"/>
          <w:szCs w:val="28"/>
        </w:rPr>
        <w:t xml:space="preserve">. </w:t>
      </w:r>
      <w:r w:rsidR="00854080">
        <w:rPr>
          <w:rFonts w:asciiTheme="minorHAnsi" w:hAnsiTheme="minorHAnsi" w:cs="Arial"/>
          <w:sz w:val="28"/>
          <w:szCs w:val="28"/>
        </w:rPr>
        <w:t>U</w:t>
      </w:r>
      <w:r>
        <w:rPr>
          <w:rFonts w:asciiTheme="minorHAnsi" w:hAnsiTheme="minorHAnsi" w:cs="Arial"/>
          <w:sz w:val="28"/>
          <w:szCs w:val="28"/>
        </w:rPr>
        <w:t xml:space="preserve">n gain </w:t>
      </w:r>
      <w:r w:rsidRPr="00417A11">
        <w:rPr>
          <w:rFonts w:asciiTheme="minorHAnsi" w:hAnsiTheme="minorHAnsi" w:cs="Arial"/>
          <w:sz w:val="28"/>
          <w:szCs w:val="28"/>
        </w:rPr>
        <w:t>de 2,6 à 4</w:t>
      </w:r>
      <w:r w:rsidR="00854080">
        <w:rPr>
          <w:rFonts w:asciiTheme="minorHAnsi" w:hAnsiTheme="minorHAnsi" w:cs="Arial"/>
          <w:sz w:val="28"/>
          <w:szCs w:val="28"/>
        </w:rPr>
        <w:t xml:space="preserve"> points de pourcentage </w:t>
      </w:r>
      <w:r>
        <w:rPr>
          <w:rFonts w:asciiTheme="minorHAnsi" w:hAnsiTheme="minorHAnsi" w:cs="Arial"/>
          <w:sz w:val="28"/>
          <w:szCs w:val="28"/>
        </w:rPr>
        <w:t xml:space="preserve">du </w:t>
      </w:r>
      <w:r w:rsidRPr="00417A11">
        <w:rPr>
          <w:rFonts w:asciiTheme="minorHAnsi" w:hAnsiTheme="minorHAnsi" w:cs="Arial"/>
          <w:sz w:val="28"/>
          <w:szCs w:val="28"/>
        </w:rPr>
        <w:t>VEMS</w:t>
      </w:r>
      <w:r w:rsidR="00854080">
        <w:rPr>
          <w:rFonts w:asciiTheme="minorHAnsi" w:hAnsiTheme="minorHAnsi" w:cs="Arial"/>
          <w:sz w:val="28"/>
          <w:szCs w:val="28"/>
        </w:rPr>
        <w:t xml:space="preserve">, en moyenne, a été mesuré </w:t>
      </w:r>
      <w:r w:rsidR="007574B9">
        <w:rPr>
          <w:rFonts w:asciiTheme="minorHAnsi" w:hAnsiTheme="minorHAnsi" w:cs="Arial"/>
          <w:sz w:val="28"/>
          <w:szCs w:val="28"/>
        </w:rPr>
        <w:t>chez les</w:t>
      </w:r>
      <w:r>
        <w:rPr>
          <w:rFonts w:asciiTheme="minorHAnsi" w:hAnsiTheme="minorHAnsi" w:cs="Arial"/>
          <w:sz w:val="28"/>
          <w:szCs w:val="28"/>
        </w:rPr>
        <w:t xml:space="preserve"> </w:t>
      </w:r>
      <w:r w:rsidR="00483910">
        <w:rPr>
          <w:rFonts w:asciiTheme="minorHAnsi" w:hAnsiTheme="minorHAnsi" w:cs="Arial"/>
          <w:sz w:val="28"/>
          <w:szCs w:val="28"/>
        </w:rPr>
        <w:t xml:space="preserve">malades </w:t>
      </w:r>
      <w:r>
        <w:rPr>
          <w:rFonts w:asciiTheme="minorHAnsi" w:hAnsiTheme="minorHAnsi" w:cs="Arial"/>
          <w:sz w:val="28"/>
          <w:szCs w:val="28"/>
        </w:rPr>
        <w:t>traités</w:t>
      </w:r>
      <w:r w:rsidR="00854080">
        <w:rPr>
          <w:rFonts w:asciiTheme="minorHAnsi" w:hAnsiTheme="minorHAnsi" w:cs="Arial"/>
          <w:sz w:val="28"/>
          <w:szCs w:val="28"/>
        </w:rPr>
        <w:t xml:space="preserve">, </w:t>
      </w:r>
      <w:r w:rsidR="004B3B77">
        <w:rPr>
          <w:rFonts w:asciiTheme="minorHAnsi" w:hAnsiTheme="minorHAnsi" w:cs="Arial"/>
          <w:sz w:val="28"/>
          <w:szCs w:val="28"/>
        </w:rPr>
        <w:t>à la fin de l’essai clinique</w:t>
      </w:r>
      <w:r w:rsidR="00854080">
        <w:rPr>
          <w:rFonts w:asciiTheme="minorHAnsi" w:hAnsiTheme="minorHAnsi" w:cs="Arial"/>
          <w:sz w:val="28"/>
          <w:szCs w:val="28"/>
        </w:rPr>
        <w:t xml:space="preserve">, par rapport aux groupes </w:t>
      </w:r>
      <w:r w:rsidR="00E96DFF">
        <w:rPr>
          <w:rFonts w:asciiTheme="minorHAnsi" w:hAnsiTheme="minorHAnsi" w:cs="Arial"/>
          <w:sz w:val="28"/>
          <w:szCs w:val="28"/>
        </w:rPr>
        <w:t>placebo</w:t>
      </w:r>
      <w:r w:rsidRPr="00417A11">
        <w:rPr>
          <w:rFonts w:asciiTheme="minorHAnsi" w:hAnsiTheme="minorHAnsi" w:cs="Arial"/>
          <w:sz w:val="28"/>
          <w:szCs w:val="28"/>
        </w:rPr>
        <w:t xml:space="preserve">. </w:t>
      </w:r>
      <w:r w:rsidRPr="002628CD">
        <w:rPr>
          <w:rFonts w:asciiTheme="minorHAnsi" w:hAnsiTheme="minorHAnsi" w:cs="Arial"/>
          <w:sz w:val="28"/>
          <w:szCs w:val="28"/>
        </w:rPr>
        <w:t xml:space="preserve">Un effet bénéfique a également été montré sur d’autres indicateurs mesurés (prise de poids, </w:t>
      </w:r>
      <w:r w:rsidR="00483910" w:rsidRPr="00A92B10">
        <w:rPr>
          <w:rFonts w:asciiTheme="minorHAnsi" w:hAnsiTheme="minorHAnsi" w:cs="Arial"/>
          <w:sz w:val="28"/>
          <w:szCs w:val="28"/>
        </w:rPr>
        <w:t xml:space="preserve">diminution significative du </w:t>
      </w:r>
      <w:r w:rsidRPr="00A92B10">
        <w:rPr>
          <w:rFonts w:asciiTheme="minorHAnsi" w:hAnsiTheme="minorHAnsi" w:cs="Arial"/>
          <w:sz w:val="28"/>
          <w:szCs w:val="28"/>
        </w:rPr>
        <w:t xml:space="preserve">nombre </w:t>
      </w:r>
      <w:r w:rsidRPr="00A92B10">
        <w:rPr>
          <w:rFonts w:asciiTheme="minorHAnsi" w:hAnsiTheme="minorHAnsi" w:cs="Arial"/>
          <w:sz w:val="28"/>
          <w:szCs w:val="28"/>
        </w:rPr>
        <w:lastRenderedPageBreak/>
        <w:t>d’exacerbations).</w:t>
      </w:r>
      <w:r w:rsidRPr="002628CD">
        <w:rPr>
          <w:rFonts w:asciiTheme="minorHAnsi" w:hAnsiTheme="minorHAnsi" w:cs="Arial"/>
          <w:sz w:val="28"/>
          <w:szCs w:val="28"/>
        </w:rPr>
        <w:t xml:space="preserve"> </w:t>
      </w:r>
      <w:r w:rsidR="009A5DCB">
        <w:rPr>
          <w:rFonts w:asciiTheme="minorHAnsi" w:hAnsiTheme="minorHAnsi" w:cs="Arial"/>
          <w:sz w:val="28"/>
          <w:szCs w:val="28"/>
        </w:rPr>
        <w:t>À</w:t>
      </w:r>
      <w:r w:rsidR="009633B5">
        <w:rPr>
          <w:rFonts w:asciiTheme="minorHAnsi" w:hAnsiTheme="minorHAnsi" w:cs="Arial"/>
          <w:sz w:val="28"/>
          <w:szCs w:val="28"/>
        </w:rPr>
        <w:t xml:space="preserve"> la suite des 24 semaines de participation à l’essai clinique, les patients qui le souhaitaient pouvaient poursuivre le traitement (ou le commencer, s’ils étaient sous </w:t>
      </w:r>
      <w:r w:rsidR="005D7CFE">
        <w:rPr>
          <w:rFonts w:asciiTheme="minorHAnsi" w:hAnsiTheme="minorHAnsi" w:cs="Arial"/>
          <w:sz w:val="28"/>
          <w:szCs w:val="28"/>
        </w:rPr>
        <w:t>placebo</w:t>
      </w:r>
      <w:r w:rsidR="009633B5">
        <w:rPr>
          <w:rFonts w:asciiTheme="minorHAnsi" w:hAnsiTheme="minorHAnsi" w:cs="Arial"/>
          <w:sz w:val="28"/>
          <w:szCs w:val="28"/>
        </w:rPr>
        <w:t>). Ainsi</w:t>
      </w:r>
      <w:r w:rsidR="00255418">
        <w:rPr>
          <w:rFonts w:asciiTheme="minorHAnsi" w:hAnsiTheme="minorHAnsi" w:cs="Arial"/>
          <w:sz w:val="28"/>
          <w:szCs w:val="28"/>
        </w:rPr>
        <w:t>,</w:t>
      </w:r>
      <w:r w:rsidR="009633B5">
        <w:rPr>
          <w:rFonts w:asciiTheme="minorHAnsi" w:hAnsiTheme="minorHAnsi" w:cs="Arial"/>
          <w:sz w:val="28"/>
          <w:szCs w:val="28"/>
        </w:rPr>
        <w:t xml:space="preserve"> </w:t>
      </w:r>
      <w:r w:rsidR="00255418">
        <w:rPr>
          <w:rFonts w:asciiTheme="minorHAnsi" w:hAnsiTheme="minorHAnsi" w:cs="Arial"/>
          <w:sz w:val="28"/>
          <w:szCs w:val="28"/>
        </w:rPr>
        <w:t xml:space="preserve">des </w:t>
      </w:r>
      <w:r w:rsidR="009633B5">
        <w:rPr>
          <w:rFonts w:asciiTheme="minorHAnsi" w:hAnsiTheme="minorHAnsi" w:cs="Arial"/>
          <w:sz w:val="28"/>
          <w:szCs w:val="28"/>
        </w:rPr>
        <w:t xml:space="preserve">données sur </w:t>
      </w:r>
      <w:r w:rsidR="005D7CFE">
        <w:rPr>
          <w:rFonts w:asciiTheme="minorHAnsi" w:hAnsiTheme="minorHAnsi" w:cs="Arial"/>
          <w:sz w:val="28"/>
          <w:szCs w:val="28"/>
        </w:rPr>
        <w:t xml:space="preserve">un </w:t>
      </w:r>
      <w:r w:rsidR="009633B5">
        <w:rPr>
          <w:rFonts w:asciiTheme="minorHAnsi" w:hAnsiTheme="minorHAnsi" w:cs="Arial"/>
          <w:sz w:val="28"/>
          <w:szCs w:val="28"/>
        </w:rPr>
        <w:t>plus long terme</w:t>
      </w:r>
      <w:r w:rsidR="00255418">
        <w:rPr>
          <w:rFonts w:asciiTheme="minorHAnsi" w:hAnsiTheme="minorHAnsi" w:cs="Arial"/>
          <w:sz w:val="28"/>
          <w:szCs w:val="28"/>
        </w:rPr>
        <w:t xml:space="preserve"> sont désormais disponibles</w:t>
      </w:r>
      <w:r w:rsidR="009633B5">
        <w:rPr>
          <w:rFonts w:asciiTheme="minorHAnsi" w:hAnsiTheme="minorHAnsi" w:cs="Arial"/>
          <w:sz w:val="28"/>
          <w:szCs w:val="28"/>
        </w:rPr>
        <w:t xml:space="preserve">. </w:t>
      </w:r>
      <w:r w:rsidR="009A5DCB">
        <w:rPr>
          <w:rFonts w:asciiTheme="minorHAnsi" w:hAnsiTheme="minorHAnsi" w:cs="Arial"/>
          <w:sz w:val="28"/>
          <w:szCs w:val="28"/>
        </w:rPr>
        <w:t>À</w:t>
      </w:r>
      <w:r w:rsidR="009633B5" w:rsidRPr="009633B5">
        <w:rPr>
          <w:rFonts w:asciiTheme="minorHAnsi" w:hAnsiTheme="minorHAnsi" w:cs="Arial"/>
          <w:sz w:val="28"/>
          <w:szCs w:val="28"/>
        </w:rPr>
        <w:t xml:space="preserve"> 48 semaines</w:t>
      </w:r>
      <w:r w:rsidR="009A5DCB">
        <w:rPr>
          <w:rFonts w:asciiTheme="minorHAnsi" w:hAnsiTheme="minorHAnsi" w:cs="Arial"/>
          <w:sz w:val="28"/>
          <w:szCs w:val="28"/>
        </w:rPr>
        <w:t>,</w:t>
      </w:r>
      <w:r w:rsidR="009633B5" w:rsidRPr="009633B5">
        <w:rPr>
          <w:rFonts w:asciiTheme="minorHAnsi" w:hAnsiTheme="minorHAnsi" w:cs="Arial"/>
          <w:sz w:val="28"/>
          <w:szCs w:val="28"/>
        </w:rPr>
        <w:t xml:space="preserve"> les effets se maintiennent : gain de quelques points de VEMS, diminution </w:t>
      </w:r>
      <w:r w:rsidR="0009629A">
        <w:rPr>
          <w:rFonts w:asciiTheme="minorHAnsi" w:hAnsiTheme="minorHAnsi" w:cs="Arial"/>
          <w:sz w:val="28"/>
          <w:szCs w:val="28"/>
        </w:rPr>
        <w:t xml:space="preserve">significative </w:t>
      </w:r>
      <w:r w:rsidR="009633B5" w:rsidRPr="009633B5">
        <w:rPr>
          <w:rFonts w:asciiTheme="minorHAnsi" w:hAnsiTheme="minorHAnsi" w:cs="Arial"/>
          <w:sz w:val="28"/>
          <w:szCs w:val="28"/>
        </w:rPr>
        <w:t xml:space="preserve">des </w:t>
      </w:r>
      <w:r w:rsidR="009633B5">
        <w:rPr>
          <w:rFonts w:asciiTheme="minorHAnsi" w:hAnsiTheme="minorHAnsi" w:cs="Arial"/>
          <w:sz w:val="28"/>
          <w:szCs w:val="28"/>
        </w:rPr>
        <w:t>exacerbations (et des cures d’antibiotiques</w:t>
      </w:r>
      <w:r w:rsidR="009633B5" w:rsidRPr="009633B5">
        <w:rPr>
          <w:rFonts w:asciiTheme="minorHAnsi" w:hAnsiTheme="minorHAnsi" w:cs="Arial"/>
          <w:sz w:val="28"/>
          <w:szCs w:val="28"/>
        </w:rPr>
        <w:t xml:space="preserve"> en IV) et amélioration de la qualité de vie</w:t>
      </w:r>
      <w:r w:rsidR="009633B5">
        <w:rPr>
          <w:rFonts w:asciiTheme="minorHAnsi" w:hAnsiTheme="minorHAnsi" w:cs="Arial"/>
          <w:sz w:val="28"/>
          <w:szCs w:val="28"/>
        </w:rPr>
        <w:t>.</w:t>
      </w:r>
    </w:p>
    <w:p w:rsidR="00FA3018" w:rsidRPr="000D1F53" w:rsidRDefault="002277E8" w:rsidP="00FA3018">
      <w:pPr>
        <w:pStyle w:val="Titre1"/>
        <w:numPr>
          <w:ilvl w:val="0"/>
          <w:numId w:val="1"/>
        </w:numPr>
        <w:rPr>
          <w:rFonts w:asciiTheme="minorHAnsi" w:hAnsiTheme="minorHAnsi" w:cs="Arial"/>
          <w:sz w:val="28"/>
          <w:szCs w:val="28"/>
        </w:rPr>
      </w:pPr>
      <w:r>
        <w:rPr>
          <w:rFonts w:asciiTheme="minorHAnsi" w:hAnsiTheme="minorHAnsi" w:cs="Arial"/>
          <w:sz w:val="28"/>
          <w:szCs w:val="28"/>
        </w:rPr>
        <w:t xml:space="preserve"> </w:t>
      </w:r>
      <w:r w:rsidR="00FA3018">
        <w:rPr>
          <w:rFonts w:asciiTheme="minorHAnsi" w:hAnsiTheme="minorHAnsi" w:cs="Arial"/>
          <w:sz w:val="28"/>
          <w:szCs w:val="28"/>
        </w:rPr>
        <w:t xml:space="preserve">Peut-on comparer ces résultats à ceux obtenus pour le </w:t>
      </w:r>
      <w:proofErr w:type="spellStart"/>
      <w:r w:rsidR="00FA3018">
        <w:rPr>
          <w:rFonts w:asciiTheme="minorHAnsi" w:hAnsiTheme="minorHAnsi" w:cs="Arial"/>
          <w:sz w:val="28"/>
          <w:szCs w:val="28"/>
        </w:rPr>
        <w:t>Kalydeco</w:t>
      </w:r>
      <w:proofErr w:type="spellEnd"/>
      <w:r w:rsidR="00FA3018">
        <w:rPr>
          <w:rFonts w:asciiTheme="minorHAnsi" w:hAnsiTheme="minorHAnsi" w:cs="Arial"/>
          <w:sz w:val="28"/>
          <w:szCs w:val="28"/>
        </w:rPr>
        <w:t xml:space="preserve">® utilisé seul chez </w:t>
      </w:r>
      <w:r w:rsidR="009633B5">
        <w:rPr>
          <w:rFonts w:asciiTheme="minorHAnsi" w:hAnsiTheme="minorHAnsi" w:cs="Arial"/>
          <w:sz w:val="28"/>
          <w:szCs w:val="28"/>
        </w:rPr>
        <w:t xml:space="preserve">les </w:t>
      </w:r>
      <w:r w:rsidR="00FA3018">
        <w:rPr>
          <w:rFonts w:asciiTheme="minorHAnsi" w:hAnsiTheme="minorHAnsi" w:cs="Arial"/>
          <w:sz w:val="28"/>
          <w:szCs w:val="28"/>
        </w:rPr>
        <w:t>malades porteurs de la mutation « gating » G551D</w:t>
      </w:r>
      <w:r w:rsidR="00FA3018" w:rsidRPr="000D1F53">
        <w:rPr>
          <w:rFonts w:asciiTheme="minorHAnsi" w:hAnsiTheme="minorHAnsi" w:cs="Arial"/>
          <w:sz w:val="28"/>
          <w:szCs w:val="28"/>
        </w:rPr>
        <w:t xml:space="preserve"> ?</w:t>
      </w:r>
    </w:p>
    <w:p w:rsidR="00DF1117" w:rsidRPr="002628CD" w:rsidRDefault="008C0557" w:rsidP="00417A11">
      <w:pPr>
        <w:pStyle w:val="NormalWeb"/>
        <w:jc w:val="both"/>
        <w:rPr>
          <w:rFonts w:asciiTheme="minorHAnsi" w:hAnsiTheme="minorHAnsi" w:cs="Arial"/>
          <w:sz w:val="28"/>
          <w:szCs w:val="28"/>
        </w:rPr>
      </w:pPr>
      <w:r>
        <w:rPr>
          <w:rFonts w:asciiTheme="minorHAnsi" w:hAnsiTheme="minorHAnsi" w:cs="Arial"/>
          <w:sz w:val="28"/>
          <w:szCs w:val="28"/>
        </w:rPr>
        <w:t xml:space="preserve">On ne peut pas </w:t>
      </w:r>
      <w:r w:rsidR="00F66C55">
        <w:rPr>
          <w:rFonts w:asciiTheme="minorHAnsi" w:hAnsiTheme="minorHAnsi" w:cs="Arial"/>
          <w:sz w:val="28"/>
          <w:szCs w:val="28"/>
        </w:rPr>
        <w:t xml:space="preserve">directement </w:t>
      </w:r>
      <w:r>
        <w:rPr>
          <w:rFonts w:asciiTheme="minorHAnsi" w:hAnsiTheme="minorHAnsi" w:cs="Arial"/>
          <w:sz w:val="28"/>
          <w:szCs w:val="28"/>
        </w:rPr>
        <w:t xml:space="preserve">comparer les données obtenues pour le </w:t>
      </w:r>
      <w:proofErr w:type="spellStart"/>
      <w:r>
        <w:rPr>
          <w:rFonts w:asciiTheme="minorHAnsi" w:hAnsiTheme="minorHAnsi" w:cs="Arial"/>
          <w:sz w:val="28"/>
          <w:szCs w:val="28"/>
        </w:rPr>
        <w:t>Kalydeco</w:t>
      </w:r>
      <w:proofErr w:type="spellEnd"/>
      <w:r w:rsidR="00A43CBB">
        <w:rPr>
          <w:rFonts w:asciiTheme="minorHAnsi" w:hAnsiTheme="minorHAnsi" w:cs="Arial"/>
          <w:sz w:val="28"/>
          <w:szCs w:val="28"/>
        </w:rPr>
        <w:t>®</w:t>
      </w:r>
      <w:r>
        <w:rPr>
          <w:rFonts w:asciiTheme="minorHAnsi" w:hAnsiTheme="minorHAnsi" w:cs="Arial"/>
          <w:sz w:val="28"/>
          <w:szCs w:val="28"/>
        </w:rPr>
        <w:t xml:space="preserve"> utilisé seul chez </w:t>
      </w:r>
      <w:r w:rsidR="009633B5">
        <w:rPr>
          <w:rFonts w:asciiTheme="minorHAnsi" w:hAnsiTheme="minorHAnsi" w:cs="Arial"/>
          <w:sz w:val="28"/>
          <w:szCs w:val="28"/>
        </w:rPr>
        <w:t xml:space="preserve">les </w:t>
      </w:r>
      <w:r>
        <w:rPr>
          <w:rFonts w:asciiTheme="minorHAnsi" w:hAnsiTheme="minorHAnsi" w:cs="Arial"/>
          <w:sz w:val="28"/>
          <w:szCs w:val="28"/>
        </w:rPr>
        <w:t>malades porteurs de la mutation « gating » G551D</w:t>
      </w:r>
      <w:r w:rsidR="00F66C55">
        <w:rPr>
          <w:rFonts w:asciiTheme="minorHAnsi" w:hAnsiTheme="minorHAnsi" w:cs="Arial"/>
          <w:sz w:val="28"/>
          <w:szCs w:val="28"/>
        </w:rPr>
        <w:t xml:space="preserve"> avec celles de</w:t>
      </w:r>
      <w:r w:rsidR="004B3B77">
        <w:rPr>
          <w:rFonts w:asciiTheme="minorHAnsi" w:hAnsiTheme="minorHAnsi" w:cs="Arial"/>
          <w:sz w:val="28"/>
          <w:szCs w:val="28"/>
        </w:rPr>
        <w:t>s</w:t>
      </w:r>
      <w:r w:rsidR="00F66C55">
        <w:rPr>
          <w:rFonts w:asciiTheme="minorHAnsi" w:hAnsiTheme="minorHAnsi" w:cs="Arial"/>
          <w:sz w:val="28"/>
          <w:szCs w:val="28"/>
        </w:rPr>
        <w:t xml:space="preserve"> deux </w:t>
      </w:r>
      <w:r w:rsidR="004B3B77">
        <w:rPr>
          <w:rFonts w:asciiTheme="minorHAnsi" w:hAnsiTheme="minorHAnsi" w:cs="Arial"/>
          <w:sz w:val="28"/>
          <w:szCs w:val="28"/>
        </w:rPr>
        <w:t xml:space="preserve">essais cliniques </w:t>
      </w:r>
      <w:r w:rsidR="00A001D7">
        <w:rPr>
          <w:rFonts w:asciiTheme="minorHAnsi" w:hAnsiTheme="minorHAnsi" w:cs="Arial"/>
          <w:sz w:val="28"/>
          <w:szCs w:val="28"/>
        </w:rPr>
        <w:t xml:space="preserve">de la combinaison </w:t>
      </w:r>
      <w:proofErr w:type="spellStart"/>
      <w:r w:rsidR="00A001D7" w:rsidRPr="006B4161">
        <w:rPr>
          <w:rFonts w:asciiTheme="minorHAnsi" w:hAnsiTheme="minorHAnsi" w:cs="Arial"/>
          <w:sz w:val="28"/>
          <w:szCs w:val="28"/>
        </w:rPr>
        <w:t>lumacaftor</w:t>
      </w:r>
      <w:proofErr w:type="spellEnd"/>
      <w:r w:rsidR="00A001D7" w:rsidRPr="006B4161">
        <w:rPr>
          <w:rFonts w:asciiTheme="minorHAnsi" w:hAnsiTheme="minorHAnsi" w:cs="Arial"/>
          <w:sz w:val="28"/>
          <w:szCs w:val="28"/>
        </w:rPr>
        <w:t xml:space="preserve">/ </w:t>
      </w:r>
      <w:proofErr w:type="spellStart"/>
      <w:r w:rsidR="00A001D7" w:rsidRPr="006B4161">
        <w:rPr>
          <w:rFonts w:asciiTheme="minorHAnsi" w:hAnsiTheme="minorHAnsi" w:cs="Arial"/>
          <w:sz w:val="28"/>
          <w:szCs w:val="28"/>
        </w:rPr>
        <w:t>ivacaftor</w:t>
      </w:r>
      <w:proofErr w:type="spellEnd"/>
      <w:r w:rsidR="00A001D7">
        <w:rPr>
          <w:rFonts w:asciiTheme="minorHAnsi" w:hAnsiTheme="minorHAnsi" w:cs="Arial"/>
          <w:sz w:val="28"/>
          <w:szCs w:val="28"/>
        </w:rPr>
        <w:t xml:space="preserve"> (</w:t>
      </w:r>
      <w:proofErr w:type="spellStart"/>
      <w:r w:rsidR="008D0CC1">
        <w:rPr>
          <w:rFonts w:asciiTheme="minorHAnsi" w:hAnsiTheme="minorHAnsi" w:cs="Arial"/>
          <w:sz w:val="28"/>
          <w:szCs w:val="28"/>
        </w:rPr>
        <w:t>Orkambi</w:t>
      </w:r>
      <w:proofErr w:type="spellEnd"/>
      <w:r w:rsidR="008D0CC1">
        <w:rPr>
          <w:rFonts w:asciiTheme="minorHAnsi" w:hAnsiTheme="minorHAnsi" w:cs="Arial"/>
          <w:sz w:val="28"/>
          <w:szCs w:val="28"/>
        </w:rPr>
        <w:t>®</w:t>
      </w:r>
      <w:r w:rsidR="00A001D7">
        <w:rPr>
          <w:rFonts w:asciiTheme="minorHAnsi" w:hAnsiTheme="minorHAnsi" w:cs="Arial"/>
          <w:sz w:val="28"/>
          <w:szCs w:val="28"/>
        </w:rPr>
        <w:t>)</w:t>
      </w:r>
      <w:r w:rsidR="00F66C55">
        <w:rPr>
          <w:rFonts w:asciiTheme="minorHAnsi" w:hAnsiTheme="minorHAnsi" w:cs="Arial"/>
          <w:sz w:val="28"/>
          <w:szCs w:val="28"/>
        </w:rPr>
        <w:t xml:space="preserve"> chez les patients homozygotes </w:t>
      </w:r>
      <w:r w:rsidR="00CF6E04">
        <w:rPr>
          <w:rFonts w:asciiTheme="minorHAnsi" w:hAnsiTheme="minorHAnsi" w:cs="Arial"/>
          <w:sz w:val="28"/>
          <w:szCs w:val="28"/>
        </w:rPr>
        <w:t>F508del</w:t>
      </w:r>
      <w:r w:rsidR="00F66C55">
        <w:rPr>
          <w:rFonts w:asciiTheme="minorHAnsi" w:hAnsiTheme="minorHAnsi" w:cs="Arial"/>
          <w:sz w:val="28"/>
          <w:szCs w:val="28"/>
        </w:rPr>
        <w:t>. En effet, les profils de patients concernés sont très différents</w:t>
      </w:r>
      <w:r w:rsidR="002277E8">
        <w:rPr>
          <w:rFonts w:asciiTheme="minorHAnsi" w:hAnsiTheme="minorHAnsi" w:cs="Arial"/>
          <w:sz w:val="28"/>
          <w:szCs w:val="28"/>
        </w:rPr>
        <w:t>, notamment en termes de mutations et</w:t>
      </w:r>
      <w:r w:rsidR="00E345A7">
        <w:rPr>
          <w:rFonts w:asciiTheme="minorHAnsi" w:hAnsiTheme="minorHAnsi" w:cs="Arial"/>
          <w:sz w:val="28"/>
          <w:szCs w:val="28"/>
        </w:rPr>
        <w:t xml:space="preserve"> de</w:t>
      </w:r>
      <w:r w:rsidR="002277E8">
        <w:rPr>
          <w:rFonts w:asciiTheme="minorHAnsi" w:hAnsiTheme="minorHAnsi" w:cs="Arial"/>
          <w:sz w:val="28"/>
          <w:szCs w:val="28"/>
        </w:rPr>
        <w:t xml:space="preserve"> sévérité de la maladie.</w:t>
      </w:r>
      <w:r w:rsidR="009A5DCB">
        <w:rPr>
          <w:rFonts w:asciiTheme="minorHAnsi" w:hAnsiTheme="minorHAnsi" w:cs="Arial"/>
          <w:sz w:val="28"/>
          <w:szCs w:val="28"/>
        </w:rPr>
        <w:t xml:space="preserve"> (Voir aussi question n</w:t>
      </w:r>
      <w:r w:rsidR="006C78EF">
        <w:rPr>
          <w:rFonts w:asciiTheme="minorHAnsi" w:hAnsiTheme="minorHAnsi" w:cs="Arial"/>
          <w:sz w:val="28"/>
          <w:szCs w:val="28"/>
        </w:rPr>
        <w:t>° 5).</w:t>
      </w:r>
    </w:p>
    <w:p w:rsidR="00D20EE7" w:rsidRPr="000D1F53" w:rsidRDefault="008D491A" w:rsidP="00FA3018">
      <w:pPr>
        <w:pStyle w:val="Titre1"/>
        <w:numPr>
          <w:ilvl w:val="0"/>
          <w:numId w:val="1"/>
        </w:numPr>
        <w:rPr>
          <w:rFonts w:asciiTheme="minorHAnsi" w:hAnsiTheme="minorHAnsi" w:cs="Arial"/>
          <w:sz w:val="28"/>
          <w:szCs w:val="28"/>
        </w:rPr>
      </w:pPr>
      <w:r>
        <w:rPr>
          <w:rFonts w:asciiTheme="minorHAnsi" w:hAnsiTheme="minorHAnsi" w:cs="Arial"/>
          <w:sz w:val="28"/>
          <w:szCs w:val="28"/>
        </w:rPr>
        <w:t xml:space="preserve"> </w:t>
      </w:r>
      <w:r w:rsidR="00D20EE7" w:rsidRPr="000D1F53">
        <w:rPr>
          <w:rFonts w:asciiTheme="minorHAnsi" w:hAnsiTheme="minorHAnsi" w:cs="Arial"/>
          <w:sz w:val="28"/>
          <w:szCs w:val="28"/>
        </w:rPr>
        <w:t>Quand le traitement sera-t-il disponible </w:t>
      </w:r>
      <w:r w:rsidR="00740B5C">
        <w:rPr>
          <w:rFonts w:asciiTheme="minorHAnsi" w:hAnsiTheme="minorHAnsi" w:cs="Arial"/>
          <w:sz w:val="28"/>
          <w:szCs w:val="28"/>
        </w:rPr>
        <w:t xml:space="preserve">en France </w:t>
      </w:r>
      <w:r w:rsidR="00D20EE7" w:rsidRPr="000D1F53">
        <w:rPr>
          <w:rFonts w:asciiTheme="minorHAnsi" w:hAnsiTheme="minorHAnsi" w:cs="Arial"/>
          <w:sz w:val="28"/>
          <w:szCs w:val="28"/>
        </w:rPr>
        <w:t>?</w:t>
      </w:r>
    </w:p>
    <w:p w:rsidR="00740B5C" w:rsidRDefault="009633B5" w:rsidP="008D491A">
      <w:pPr>
        <w:pStyle w:val="NormalWeb"/>
        <w:spacing w:after="0" w:afterAutospacing="0"/>
        <w:jc w:val="both"/>
        <w:rPr>
          <w:rFonts w:asciiTheme="minorHAnsi" w:hAnsiTheme="minorHAnsi" w:cs="Arial"/>
          <w:sz w:val="28"/>
          <w:szCs w:val="28"/>
        </w:rPr>
      </w:pPr>
      <w:r>
        <w:rPr>
          <w:rFonts w:asciiTheme="minorHAnsi" w:hAnsiTheme="minorHAnsi" w:cs="Arial"/>
          <w:sz w:val="28"/>
          <w:szCs w:val="28"/>
        </w:rPr>
        <w:t xml:space="preserve">L’autorisation de mise sur le marché </w:t>
      </w:r>
      <w:r w:rsidR="00A92B10">
        <w:rPr>
          <w:rFonts w:asciiTheme="minorHAnsi" w:hAnsiTheme="minorHAnsi" w:cs="Arial"/>
          <w:sz w:val="28"/>
          <w:szCs w:val="28"/>
        </w:rPr>
        <w:t>(AMM) d’</w:t>
      </w:r>
      <w:proofErr w:type="spellStart"/>
      <w:r w:rsidR="00A92B10">
        <w:rPr>
          <w:rFonts w:asciiTheme="minorHAnsi" w:hAnsiTheme="minorHAnsi" w:cs="Arial"/>
          <w:sz w:val="28"/>
          <w:szCs w:val="28"/>
        </w:rPr>
        <w:t>Orkambi</w:t>
      </w:r>
      <w:proofErr w:type="spellEnd"/>
      <w:r w:rsidR="00A92B10">
        <w:rPr>
          <w:rFonts w:asciiTheme="minorHAnsi" w:hAnsiTheme="minorHAnsi" w:cs="Arial"/>
          <w:sz w:val="28"/>
          <w:szCs w:val="28"/>
        </w:rPr>
        <w:t xml:space="preserve">® </w:t>
      </w:r>
      <w:r w:rsidR="008D491A">
        <w:rPr>
          <w:rFonts w:asciiTheme="minorHAnsi" w:hAnsiTheme="minorHAnsi" w:cs="Arial"/>
          <w:sz w:val="28"/>
          <w:szCs w:val="28"/>
        </w:rPr>
        <w:t xml:space="preserve">en Europe </w:t>
      </w:r>
      <w:r w:rsidR="00255418">
        <w:rPr>
          <w:rFonts w:asciiTheme="minorHAnsi" w:hAnsiTheme="minorHAnsi" w:cs="Arial"/>
          <w:sz w:val="28"/>
          <w:szCs w:val="28"/>
        </w:rPr>
        <w:t>a été</w:t>
      </w:r>
      <w:r>
        <w:rPr>
          <w:rFonts w:asciiTheme="minorHAnsi" w:hAnsiTheme="minorHAnsi" w:cs="Arial"/>
          <w:sz w:val="28"/>
          <w:szCs w:val="28"/>
        </w:rPr>
        <w:t xml:space="preserve"> obtenu</w:t>
      </w:r>
      <w:r w:rsidR="00255418">
        <w:rPr>
          <w:rFonts w:asciiTheme="minorHAnsi" w:hAnsiTheme="minorHAnsi" w:cs="Arial"/>
          <w:sz w:val="28"/>
          <w:szCs w:val="28"/>
        </w:rPr>
        <w:t>e</w:t>
      </w:r>
      <w:r>
        <w:rPr>
          <w:rFonts w:asciiTheme="minorHAnsi" w:hAnsiTheme="minorHAnsi" w:cs="Arial"/>
          <w:sz w:val="28"/>
          <w:szCs w:val="28"/>
        </w:rPr>
        <w:t xml:space="preserve"> le </w:t>
      </w:r>
      <w:r w:rsidR="00613754">
        <w:rPr>
          <w:rFonts w:asciiTheme="minorHAnsi" w:hAnsiTheme="minorHAnsi" w:cs="Arial"/>
          <w:sz w:val="28"/>
          <w:szCs w:val="28"/>
        </w:rPr>
        <w:t>20 novembre</w:t>
      </w:r>
      <w:r>
        <w:rPr>
          <w:rFonts w:asciiTheme="minorHAnsi" w:hAnsiTheme="minorHAnsi" w:cs="Arial"/>
          <w:sz w:val="28"/>
          <w:szCs w:val="28"/>
        </w:rPr>
        <w:t xml:space="preserve"> </w:t>
      </w:r>
      <w:r w:rsidR="0009629A">
        <w:rPr>
          <w:rFonts w:asciiTheme="minorHAnsi" w:hAnsiTheme="minorHAnsi" w:cs="Arial"/>
          <w:sz w:val="28"/>
          <w:szCs w:val="28"/>
        </w:rPr>
        <w:t>2015</w:t>
      </w:r>
      <w:r w:rsidR="00887DC5">
        <w:rPr>
          <w:rFonts w:asciiTheme="minorHAnsi" w:hAnsiTheme="minorHAnsi" w:cs="Arial"/>
          <w:sz w:val="28"/>
          <w:szCs w:val="28"/>
        </w:rPr>
        <w:t xml:space="preserve">. </w:t>
      </w:r>
      <w:r w:rsidR="00613754">
        <w:rPr>
          <w:rFonts w:asciiTheme="minorHAnsi" w:hAnsiTheme="minorHAnsi" w:cs="Arial"/>
          <w:sz w:val="28"/>
          <w:szCs w:val="28"/>
        </w:rPr>
        <w:t>Les démarches administratives pour le taux de remboursement par la sécurité sociale sont en cours</w:t>
      </w:r>
      <w:r w:rsidR="00A92B10">
        <w:rPr>
          <w:rFonts w:asciiTheme="minorHAnsi" w:hAnsiTheme="minorHAnsi" w:cs="Arial"/>
          <w:sz w:val="28"/>
          <w:szCs w:val="28"/>
        </w:rPr>
        <w:t>.</w:t>
      </w:r>
    </w:p>
    <w:p w:rsidR="00091BC8" w:rsidRDefault="00091BC8" w:rsidP="008D491A">
      <w:pPr>
        <w:pStyle w:val="NormalWeb"/>
        <w:spacing w:before="0" w:beforeAutospacing="0"/>
        <w:jc w:val="both"/>
        <w:rPr>
          <w:rFonts w:asciiTheme="minorHAnsi" w:hAnsiTheme="minorHAnsi" w:cs="Arial"/>
          <w:sz w:val="28"/>
          <w:szCs w:val="28"/>
        </w:rPr>
      </w:pPr>
      <w:r w:rsidRPr="00091BC8">
        <w:rPr>
          <w:rFonts w:asciiTheme="minorHAnsi" w:hAnsiTheme="minorHAnsi" w:cs="Arial"/>
          <w:sz w:val="28"/>
          <w:szCs w:val="28"/>
        </w:rPr>
        <w:t>En attendant</w:t>
      </w:r>
      <w:r w:rsidR="00FE29BA">
        <w:rPr>
          <w:rFonts w:asciiTheme="minorHAnsi" w:hAnsiTheme="minorHAnsi" w:cs="Arial"/>
          <w:sz w:val="28"/>
          <w:szCs w:val="28"/>
        </w:rPr>
        <w:t>,</w:t>
      </w:r>
      <w:r w:rsidRPr="00091BC8">
        <w:rPr>
          <w:rFonts w:asciiTheme="minorHAnsi" w:hAnsiTheme="minorHAnsi" w:cs="Arial"/>
          <w:sz w:val="28"/>
          <w:szCs w:val="28"/>
        </w:rPr>
        <w:t xml:space="preserve"> et afin </w:t>
      </w:r>
      <w:r w:rsidR="006B4161">
        <w:rPr>
          <w:rFonts w:asciiTheme="minorHAnsi" w:hAnsiTheme="minorHAnsi" w:cs="Arial"/>
          <w:sz w:val="28"/>
          <w:szCs w:val="28"/>
        </w:rPr>
        <w:t>que le traitement soit plus rapidement accessible aux patients</w:t>
      </w:r>
      <w:r w:rsidR="00483910">
        <w:rPr>
          <w:rFonts w:asciiTheme="minorHAnsi" w:hAnsiTheme="minorHAnsi" w:cs="Arial"/>
          <w:sz w:val="28"/>
          <w:szCs w:val="28"/>
        </w:rPr>
        <w:t>,</w:t>
      </w:r>
      <w:r w:rsidRPr="00091BC8">
        <w:rPr>
          <w:rFonts w:asciiTheme="minorHAnsi" w:hAnsiTheme="minorHAnsi" w:cs="Arial"/>
          <w:sz w:val="28"/>
          <w:szCs w:val="28"/>
        </w:rPr>
        <w:t xml:space="preserve"> un dispositif d’Autorisation Temporaire d’Utilisation de cohorte (</w:t>
      </w:r>
      <w:proofErr w:type="spellStart"/>
      <w:r w:rsidRPr="00091BC8">
        <w:rPr>
          <w:rFonts w:asciiTheme="minorHAnsi" w:hAnsiTheme="minorHAnsi" w:cs="Arial"/>
          <w:sz w:val="28"/>
          <w:szCs w:val="28"/>
        </w:rPr>
        <w:t>ATUc</w:t>
      </w:r>
      <w:proofErr w:type="spellEnd"/>
      <w:r w:rsidRPr="00091BC8">
        <w:rPr>
          <w:rFonts w:asciiTheme="minorHAnsi" w:hAnsiTheme="minorHAnsi" w:cs="Arial"/>
          <w:sz w:val="28"/>
          <w:szCs w:val="28"/>
        </w:rPr>
        <w:t xml:space="preserve">) </w:t>
      </w:r>
      <w:r w:rsidR="00A001D7">
        <w:rPr>
          <w:rFonts w:asciiTheme="minorHAnsi" w:hAnsiTheme="minorHAnsi" w:cs="Arial"/>
          <w:sz w:val="28"/>
          <w:szCs w:val="28"/>
        </w:rPr>
        <w:t xml:space="preserve">pour </w:t>
      </w:r>
      <w:r w:rsidR="006B4161">
        <w:rPr>
          <w:rFonts w:asciiTheme="minorHAnsi" w:hAnsiTheme="minorHAnsi" w:cs="Arial"/>
          <w:sz w:val="28"/>
          <w:szCs w:val="28"/>
        </w:rPr>
        <w:t>la combinaison</w:t>
      </w:r>
      <w:r w:rsidR="00A001D7">
        <w:rPr>
          <w:rFonts w:asciiTheme="minorHAnsi" w:hAnsiTheme="minorHAnsi" w:cs="Arial"/>
          <w:sz w:val="28"/>
          <w:szCs w:val="28"/>
        </w:rPr>
        <w:t xml:space="preserve"> </w:t>
      </w:r>
      <w:proofErr w:type="spellStart"/>
      <w:r w:rsidR="00A001D7">
        <w:rPr>
          <w:rFonts w:asciiTheme="minorHAnsi" w:hAnsiTheme="minorHAnsi" w:cs="Arial"/>
          <w:sz w:val="28"/>
          <w:szCs w:val="28"/>
        </w:rPr>
        <w:t>lumacaftor</w:t>
      </w:r>
      <w:proofErr w:type="spellEnd"/>
      <w:r w:rsidR="00A001D7">
        <w:rPr>
          <w:rFonts w:asciiTheme="minorHAnsi" w:hAnsiTheme="minorHAnsi" w:cs="Arial"/>
          <w:sz w:val="28"/>
          <w:szCs w:val="28"/>
        </w:rPr>
        <w:t>/</w:t>
      </w:r>
      <w:proofErr w:type="spellStart"/>
      <w:r w:rsidR="00A001D7">
        <w:rPr>
          <w:rFonts w:asciiTheme="minorHAnsi" w:hAnsiTheme="minorHAnsi" w:cs="Arial"/>
          <w:sz w:val="28"/>
          <w:szCs w:val="28"/>
        </w:rPr>
        <w:t>ivacaftor</w:t>
      </w:r>
      <w:proofErr w:type="spellEnd"/>
      <w:r w:rsidR="00A001D7">
        <w:rPr>
          <w:rFonts w:asciiTheme="minorHAnsi" w:hAnsiTheme="minorHAnsi" w:cs="Arial"/>
          <w:sz w:val="28"/>
          <w:szCs w:val="28"/>
        </w:rPr>
        <w:t xml:space="preserve"> (200 mg/125 mg) </w:t>
      </w:r>
      <w:r w:rsidRPr="00091BC8">
        <w:rPr>
          <w:rFonts w:asciiTheme="minorHAnsi" w:hAnsiTheme="minorHAnsi" w:cs="Arial"/>
          <w:sz w:val="28"/>
          <w:szCs w:val="28"/>
        </w:rPr>
        <w:t>a été mis en place</w:t>
      </w:r>
      <w:r w:rsidR="006B4161">
        <w:rPr>
          <w:rFonts w:asciiTheme="minorHAnsi" w:hAnsiTheme="minorHAnsi" w:cs="Arial"/>
          <w:sz w:val="28"/>
          <w:szCs w:val="28"/>
        </w:rPr>
        <w:t xml:space="preserve"> et le médicament peut être prescrit et délivré aux patients dans les CRCM depuis </w:t>
      </w:r>
      <w:r w:rsidR="00483910">
        <w:rPr>
          <w:rFonts w:asciiTheme="minorHAnsi" w:hAnsiTheme="minorHAnsi" w:cs="Arial"/>
          <w:sz w:val="28"/>
          <w:szCs w:val="28"/>
        </w:rPr>
        <w:t xml:space="preserve"> le 17 décembre dernier</w:t>
      </w:r>
      <w:r w:rsidRPr="00091BC8">
        <w:rPr>
          <w:rFonts w:asciiTheme="minorHAnsi" w:hAnsiTheme="minorHAnsi" w:cs="Arial"/>
          <w:sz w:val="28"/>
          <w:szCs w:val="28"/>
        </w:rPr>
        <w:t>.</w:t>
      </w:r>
    </w:p>
    <w:p w:rsidR="00091BC8" w:rsidRDefault="008D491A" w:rsidP="008D491A">
      <w:pPr>
        <w:pStyle w:val="Titre1"/>
        <w:numPr>
          <w:ilvl w:val="0"/>
          <w:numId w:val="1"/>
        </w:numPr>
        <w:rPr>
          <w:rFonts w:asciiTheme="minorHAnsi" w:hAnsiTheme="minorHAnsi" w:cs="Arial"/>
          <w:sz w:val="28"/>
          <w:szCs w:val="28"/>
        </w:rPr>
      </w:pPr>
      <w:r>
        <w:rPr>
          <w:rFonts w:asciiTheme="minorHAnsi" w:hAnsiTheme="minorHAnsi" w:cs="Arial"/>
          <w:sz w:val="28"/>
          <w:szCs w:val="28"/>
        </w:rPr>
        <w:t xml:space="preserve"> </w:t>
      </w:r>
      <w:r w:rsidR="00091BC8">
        <w:rPr>
          <w:rFonts w:asciiTheme="minorHAnsi" w:hAnsiTheme="minorHAnsi" w:cs="Arial"/>
          <w:sz w:val="28"/>
          <w:szCs w:val="28"/>
        </w:rPr>
        <w:t xml:space="preserve">Qu’est qu’une </w:t>
      </w:r>
      <w:r w:rsidR="00091BC8" w:rsidRPr="00091BC8">
        <w:rPr>
          <w:rFonts w:asciiTheme="minorHAnsi" w:hAnsiTheme="minorHAnsi" w:cs="Arial"/>
          <w:sz w:val="28"/>
          <w:szCs w:val="28"/>
        </w:rPr>
        <w:t>Autorisation Temporaire d’Utilisation de cohorte (</w:t>
      </w:r>
      <w:proofErr w:type="spellStart"/>
      <w:r w:rsidR="00091BC8" w:rsidRPr="00091BC8">
        <w:rPr>
          <w:rFonts w:asciiTheme="minorHAnsi" w:hAnsiTheme="minorHAnsi" w:cs="Arial"/>
          <w:sz w:val="28"/>
          <w:szCs w:val="28"/>
        </w:rPr>
        <w:t>ATUc</w:t>
      </w:r>
      <w:proofErr w:type="spellEnd"/>
      <w:r w:rsidR="00091BC8" w:rsidRPr="00091BC8">
        <w:rPr>
          <w:rFonts w:asciiTheme="minorHAnsi" w:hAnsiTheme="minorHAnsi" w:cs="Arial"/>
          <w:sz w:val="28"/>
          <w:szCs w:val="28"/>
        </w:rPr>
        <w:t>)</w:t>
      </w:r>
      <w:r w:rsidR="009A5DCB">
        <w:rPr>
          <w:rFonts w:asciiTheme="minorHAnsi" w:hAnsiTheme="minorHAnsi" w:cs="Arial"/>
          <w:sz w:val="28"/>
          <w:szCs w:val="28"/>
        </w:rPr>
        <w:t> ?</w:t>
      </w:r>
    </w:p>
    <w:p w:rsidR="00A67A09" w:rsidRDefault="00D501CA" w:rsidP="00D501CA">
      <w:pPr>
        <w:pStyle w:val="NormalWeb"/>
        <w:jc w:val="both"/>
        <w:rPr>
          <w:rFonts w:asciiTheme="minorHAnsi" w:hAnsiTheme="minorHAnsi" w:cs="Arial"/>
          <w:sz w:val="28"/>
          <w:szCs w:val="28"/>
        </w:rPr>
      </w:pPr>
      <w:r>
        <w:rPr>
          <w:rFonts w:asciiTheme="minorHAnsi" w:hAnsiTheme="minorHAnsi" w:cs="Arial"/>
          <w:sz w:val="28"/>
          <w:szCs w:val="28"/>
        </w:rPr>
        <w:t>L'ATU</w:t>
      </w:r>
      <w:r w:rsidR="00A67A09">
        <w:rPr>
          <w:rFonts w:asciiTheme="minorHAnsi" w:hAnsiTheme="minorHAnsi" w:cs="Arial"/>
          <w:sz w:val="28"/>
          <w:szCs w:val="28"/>
        </w:rPr>
        <w:t xml:space="preserve"> dite </w:t>
      </w:r>
      <w:r w:rsidR="009A5DCB">
        <w:rPr>
          <w:rFonts w:asciiTheme="minorHAnsi" w:hAnsiTheme="minorHAnsi" w:cs="Arial"/>
          <w:sz w:val="28"/>
          <w:szCs w:val="28"/>
        </w:rPr>
        <w:t>« </w:t>
      </w:r>
      <w:r w:rsidR="00A67A09">
        <w:rPr>
          <w:rFonts w:asciiTheme="minorHAnsi" w:hAnsiTheme="minorHAnsi" w:cs="Arial"/>
          <w:sz w:val="28"/>
          <w:szCs w:val="28"/>
        </w:rPr>
        <w:t>de</w:t>
      </w:r>
      <w:r w:rsidRPr="00D501CA">
        <w:rPr>
          <w:rFonts w:asciiTheme="minorHAnsi" w:hAnsiTheme="minorHAnsi" w:cs="Arial"/>
          <w:sz w:val="28"/>
          <w:szCs w:val="28"/>
        </w:rPr>
        <w:t xml:space="preserve"> cohorte</w:t>
      </w:r>
      <w:r w:rsidR="009A5DCB">
        <w:rPr>
          <w:rFonts w:asciiTheme="minorHAnsi" w:hAnsiTheme="minorHAnsi" w:cs="Arial"/>
          <w:sz w:val="28"/>
          <w:szCs w:val="28"/>
        </w:rPr>
        <w:t> »</w:t>
      </w:r>
      <w:r w:rsidRPr="00D501CA">
        <w:rPr>
          <w:rFonts w:asciiTheme="minorHAnsi" w:hAnsiTheme="minorHAnsi" w:cs="Arial"/>
          <w:sz w:val="28"/>
          <w:szCs w:val="28"/>
        </w:rPr>
        <w:t xml:space="preserve"> concerne </w:t>
      </w:r>
      <w:r w:rsidR="00A67A09">
        <w:rPr>
          <w:rFonts w:asciiTheme="minorHAnsi" w:hAnsiTheme="minorHAnsi" w:cs="Arial"/>
          <w:sz w:val="28"/>
          <w:szCs w:val="28"/>
        </w:rPr>
        <w:t xml:space="preserve">des médicaments dont l’efficacité et la sécurité d’emploi sont fortement présumées et destinées à </w:t>
      </w:r>
      <w:r w:rsidRPr="00D501CA">
        <w:rPr>
          <w:rFonts w:asciiTheme="minorHAnsi" w:hAnsiTheme="minorHAnsi" w:cs="Arial"/>
          <w:sz w:val="28"/>
          <w:szCs w:val="28"/>
        </w:rPr>
        <w:t xml:space="preserve">un groupe ou sous-groupe de </w:t>
      </w:r>
      <w:r w:rsidR="00483910">
        <w:rPr>
          <w:rFonts w:asciiTheme="minorHAnsi" w:hAnsiTheme="minorHAnsi" w:cs="Arial"/>
          <w:sz w:val="28"/>
          <w:szCs w:val="28"/>
        </w:rPr>
        <w:t>malade</w:t>
      </w:r>
      <w:r w:rsidR="00483910" w:rsidRPr="00D501CA">
        <w:rPr>
          <w:rFonts w:asciiTheme="minorHAnsi" w:hAnsiTheme="minorHAnsi" w:cs="Arial"/>
          <w:sz w:val="28"/>
          <w:szCs w:val="28"/>
        </w:rPr>
        <w:t>s</w:t>
      </w:r>
      <w:r w:rsidRPr="00D501CA">
        <w:rPr>
          <w:rFonts w:asciiTheme="minorHAnsi" w:hAnsiTheme="minorHAnsi" w:cs="Arial"/>
          <w:sz w:val="28"/>
          <w:szCs w:val="28"/>
        </w:rPr>
        <w:t>, traités et surveillés suivant des critères parfaitement définis dans un protocole d'utilisation thérapeutiqu</w:t>
      </w:r>
      <w:r>
        <w:rPr>
          <w:rFonts w:asciiTheme="minorHAnsi" w:hAnsiTheme="minorHAnsi" w:cs="Arial"/>
          <w:sz w:val="28"/>
          <w:szCs w:val="28"/>
        </w:rPr>
        <w:t xml:space="preserve">e et de recueil d'informations. </w:t>
      </w:r>
    </w:p>
    <w:p w:rsidR="00A67A09" w:rsidRDefault="00613754" w:rsidP="009A5DCB">
      <w:pPr>
        <w:pStyle w:val="Titre1"/>
        <w:numPr>
          <w:ilvl w:val="0"/>
          <w:numId w:val="1"/>
        </w:numPr>
        <w:rPr>
          <w:rFonts w:asciiTheme="minorHAnsi" w:hAnsiTheme="minorHAnsi" w:cs="Arial"/>
          <w:sz w:val="28"/>
          <w:szCs w:val="28"/>
        </w:rPr>
      </w:pPr>
      <w:r>
        <w:rPr>
          <w:rFonts w:asciiTheme="minorHAnsi" w:hAnsiTheme="minorHAnsi" w:cs="Arial"/>
          <w:sz w:val="28"/>
          <w:szCs w:val="28"/>
        </w:rPr>
        <w:t xml:space="preserve"> </w:t>
      </w:r>
      <w:r w:rsidR="00A67A09">
        <w:rPr>
          <w:rFonts w:asciiTheme="minorHAnsi" w:hAnsiTheme="minorHAnsi" w:cs="Arial"/>
          <w:sz w:val="28"/>
          <w:szCs w:val="28"/>
        </w:rPr>
        <w:t xml:space="preserve">Qu’est-ce qu’un </w:t>
      </w:r>
      <w:r w:rsidR="00A67A09" w:rsidRPr="00D501CA">
        <w:rPr>
          <w:rFonts w:asciiTheme="minorHAnsi" w:hAnsiTheme="minorHAnsi" w:cs="Arial"/>
          <w:sz w:val="28"/>
          <w:szCs w:val="28"/>
        </w:rPr>
        <w:t>protocole d'utilisation thérapeutiqu</w:t>
      </w:r>
      <w:r w:rsidR="00A67A09">
        <w:rPr>
          <w:rFonts w:asciiTheme="minorHAnsi" w:hAnsiTheme="minorHAnsi" w:cs="Arial"/>
          <w:sz w:val="28"/>
          <w:szCs w:val="28"/>
        </w:rPr>
        <w:t>e et de recueil d'informations (PUT) ?</w:t>
      </w:r>
    </w:p>
    <w:p w:rsidR="000250B4" w:rsidRDefault="009A5DCB" w:rsidP="00A67A09">
      <w:pPr>
        <w:pStyle w:val="NormalWeb"/>
        <w:jc w:val="both"/>
        <w:rPr>
          <w:rFonts w:asciiTheme="minorHAnsi" w:hAnsiTheme="minorHAnsi" w:cs="Arial"/>
          <w:sz w:val="28"/>
          <w:szCs w:val="28"/>
        </w:rPr>
      </w:pPr>
      <w:r>
        <w:rPr>
          <w:rFonts w:asciiTheme="minorHAnsi" w:hAnsiTheme="minorHAnsi" w:cs="Arial"/>
          <w:sz w:val="28"/>
          <w:szCs w:val="28"/>
        </w:rPr>
        <w:t xml:space="preserve">Établi par </w:t>
      </w:r>
      <w:r>
        <w:rPr>
          <w:rFonts w:asciiTheme="minorHAnsi" w:hAnsiTheme="minorHAnsi" w:cs="Arial"/>
          <w:sz w:val="28"/>
          <w:szCs w:val="28"/>
        </w:rPr>
        <w:t>l’Agence nationale de sécurité du médicament</w:t>
      </w:r>
      <w:r>
        <w:rPr>
          <w:rFonts w:asciiTheme="minorHAnsi" w:hAnsiTheme="minorHAnsi" w:cs="Arial"/>
          <w:sz w:val="28"/>
          <w:szCs w:val="28"/>
        </w:rPr>
        <w:t xml:space="preserve"> (</w:t>
      </w:r>
      <w:r w:rsidR="00A67A09">
        <w:rPr>
          <w:rFonts w:asciiTheme="minorHAnsi" w:hAnsiTheme="minorHAnsi" w:cs="Arial"/>
          <w:sz w:val="28"/>
          <w:szCs w:val="28"/>
        </w:rPr>
        <w:t>ANSM</w:t>
      </w:r>
      <w:r>
        <w:rPr>
          <w:rFonts w:asciiTheme="minorHAnsi" w:hAnsiTheme="minorHAnsi" w:cs="Arial"/>
          <w:sz w:val="28"/>
          <w:szCs w:val="28"/>
        </w:rPr>
        <w:t>)</w:t>
      </w:r>
      <w:r w:rsidR="00A67A09">
        <w:rPr>
          <w:rFonts w:asciiTheme="minorHAnsi" w:hAnsiTheme="minorHAnsi" w:cs="Arial"/>
          <w:sz w:val="28"/>
          <w:szCs w:val="28"/>
        </w:rPr>
        <w:t xml:space="preserve"> en concertation avec Vertex Pharmaceuticals</w:t>
      </w:r>
      <w:r w:rsidR="000250B4">
        <w:rPr>
          <w:rFonts w:asciiTheme="minorHAnsi" w:hAnsiTheme="minorHAnsi" w:cs="Arial"/>
          <w:sz w:val="28"/>
          <w:szCs w:val="28"/>
        </w:rPr>
        <w:t xml:space="preserve">, </w:t>
      </w:r>
      <w:r w:rsidR="008D491A">
        <w:rPr>
          <w:rFonts w:asciiTheme="minorHAnsi" w:hAnsiTheme="minorHAnsi" w:cs="Arial"/>
          <w:sz w:val="28"/>
          <w:szCs w:val="28"/>
        </w:rPr>
        <w:t>le</w:t>
      </w:r>
      <w:r w:rsidR="000250B4">
        <w:rPr>
          <w:rFonts w:asciiTheme="minorHAnsi" w:hAnsiTheme="minorHAnsi" w:cs="Arial"/>
          <w:sz w:val="28"/>
          <w:szCs w:val="28"/>
        </w:rPr>
        <w:t xml:space="preserve"> </w:t>
      </w:r>
      <w:hyperlink r:id="rId11" w:history="1">
        <w:r w:rsidR="008D491A" w:rsidRPr="008D491A">
          <w:rPr>
            <w:rStyle w:val="Lienhypertexte"/>
            <w:rFonts w:asciiTheme="minorHAnsi" w:hAnsiTheme="minorHAnsi" w:cs="Arial"/>
            <w:sz w:val="28"/>
            <w:szCs w:val="28"/>
          </w:rPr>
          <w:t>protoc</w:t>
        </w:r>
        <w:r w:rsidR="008D491A" w:rsidRPr="00FE29BA">
          <w:rPr>
            <w:rStyle w:val="Lienhypertexte"/>
            <w:rFonts w:asciiTheme="minorHAnsi" w:hAnsiTheme="minorHAnsi" w:cs="Arial"/>
            <w:color w:val="0000FF"/>
            <w:sz w:val="28"/>
            <w:szCs w:val="28"/>
          </w:rPr>
          <w:t xml:space="preserve">ole </w:t>
        </w:r>
        <w:r w:rsidR="008D491A" w:rsidRPr="008D491A">
          <w:rPr>
            <w:rStyle w:val="Lienhypertexte"/>
            <w:rFonts w:asciiTheme="minorHAnsi" w:hAnsiTheme="minorHAnsi" w:cs="Arial"/>
            <w:sz w:val="28"/>
            <w:szCs w:val="28"/>
          </w:rPr>
          <w:t>d'utilisation thérapeutique et de recueil d'informations</w:t>
        </w:r>
      </w:hyperlink>
      <w:r w:rsidR="008D491A">
        <w:rPr>
          <w:rFonts w:asciiTheme="minorHAnsi" w:hAnsiTheme="minorHAnsi" w:cs="Arial"/>
          <w:sz w:val="28"/>
          <w:szCs w:val="28"/>
        </w:rPr>
        <w:t xml:space="preserve"> </w:t>
      </w:r>
      <w:r w:rsidR="000250B4">
        <w:rPr>
          <w:rFonts w:asciiTheme="minorHAnsi" w:hAnsiTheme="minorHAnsi" w:cs="Arial"/>
          <w:sz w:val="28"/>
          <w:szCs w:val="28"/>
        </w:rPr>
        <w:t>permet le suivi et la surveillance des patients traités</w:t>
      </w:r>
      <w:r w:rsidR="004D6E16">
        <w:rPr>
          <w:rFonts w:asciiTheme="minorHAnsi" w:hAnsiTheme="minorHAnsi" w:cs="Arial"/>
          <w:sz w:val="28"/>
          <w:szCs w:val="28"/>
        </w:rPr>
        <w:t>.</w:t>
      </w:r>
      <w:r w:rsidR="000250B4">
        <w:rPr>
          <w:rFonts w:asciiTheme="minorHAnsi" w:hAnsiTheme="minorHAnsi" w:cs="Arial"/>
          <w:sz w:val="28"/>
          <w:szCs w:val="28"/>
        </w:rPr>
        <w:t xml:space="preserve"> </w:t>
      </w:r>
    </w:p>
    <w:p w:rsidR="00091BC8" w:rsidRDefault="00613754" w:rsidP="00613754">
      <w:pPr>
        <w:pStyle w:val="Titre1"/>
        <w:numPr>
          <w:ilvl w:val="0"/>
          <w:numId w:val="1"/>
        </w:numPr>
        <w:rPr>
          <w:rFonts w:asciiTheme="minorHAnsi" w:hAnsiTheme="minorHAnsi" w:cs="Arial"/>
          <w:sz w:val="28"/>
          <w:szCs w:val="28"/>
        </w:rPr>
      </w:pPr>
      <w:r>
        <w:rPr>
          <w:rFonts w:asciiTheme="minorHAnsi" w:hAnsiTheme="minorHAnsi" w:cs="Arial"/>
          <w:sz w:val="28"/>
          <w:szCs w:val="28"/>
        </w:rPr>
        <w:lastRenderedPageBreak/>
        <w:t xml:space="preserve"> </w:t>
      </w:r>
      <w:r w:rsidR="00091BC8">
        <w:rPr>
          <w:rFonts w:asciiTheme="minorHAnsi" w:hAnsiTheme="minorHAnsi" w:cs="Arial"/>
          <w:sz w:val="28"/>
          <w:szCs w:val="28"/>
        </w:rPr>
        <w:t>Qui peut bénéficier du traitement via l’</w:t>
      </w:r>
      <w:proofErr w:type="spellStart"/>
      <w:r w:rsidR="00091BC8">
        <w:rPr>
          <w:rFonts w:asciiTheme="minorHAnsi" w:hAnsiTheme="minorHAnsi" w:cs="Arial"/>
          <w:sz w:val="28"/>
          <w:szCs w:val="28"/>
        </w:rPr>
        <w:t>ATUc</w:t>
      </w:r>
      <w:proofErr w:type="spellEnd"/>
      <w:r w:rsidR="00091BC8">
        <w:rPr>
          <w:rFonts w:asciiTheme="minorHAnsi" w:hAnsiTheme="minorHAnsi" w:cs="Arial"/>
          <w:sz w:val="28"/>
          <w:szCs w:val="28"/>
        </w:rPr>
        <w:t xml:space="preserve"> et comment obtient-on le traitement?</w:t>
      </w:r>
    </w:p>
    <w:p w:rsidR="000250B4" w:rsidRDefault="000250B4" w:rsidP="000250B4">
      <w:pPr>
        <w:pStyle w:val="NormalWeb"/>
        <w:jc w:val="both"/>
        <w:rPr>
          <w:rFonts w:asciiTheme="minorHAnsi" w:hAnsiTheme="minorHAnsi" w:cs="Arial"/>
          <w:sz w:val="28"/>
          <w:szCs w:val="28"/>
        </w:rPr>
      </w:pPr>
      <w:r w:rsidRPr="000250B4">
        <w:rPr>
          <w:rFonts w:asciiTheme="minorHAnsi" w:hAnsiTheme="minorHAnsi" w:cs="Arial"/>
          <w:sz w:val="28"/>
          <w:szCs w:val="28"/>
        </w:rPr>
        <w:t>Les patient</w:t>
      </w:r>
      <w:r>
        <w:rPr>
          <w:rFonts w:asciiTheme="minorHAnsi" w:hAnsiTheme="minorHAnsi" w:cs="Arial"/>
          <w:sz w:val="28"/>
          <w:szCs w:val="28"/>
        </w:rPr>
        <w:t>s concernés par l’</w:t>
      </w:r>
      <w:proofErr w:type="spellStart"/>
      <w:r>
        <w:rPr>
          <w:rFonts w:asciiTheme="minorHAnsi" w:hAnsiTheme="minorHAnsi" w:cs="Arial"/>
          <w:sz w:val="28"/>
          <w:szCs w:val="28"/>
        </w:rPr>
        <w:t>ATUc</w:t>
      </w:r>
      <w:proofErr w:type="spellEnd"/>
      <w:r w:rsidRPr="000250B4">
        <w:rPr>
          <w:rFonts w:asciiTheme="minorHAnsi" w:hAnsiTheme="minorHAnsi" w:cs="Arial"/>
          <w:sz w:val="28"/>
          <w:szCs w:val="28"/>
        </w:rPr>
        <w:t xml:space="preserve"> sont les patients âgés de 12 ans ou plus, homozygotes pour l</w:t>
      </w:r>
      <w:r w:rsidR="00613754">
        <w:rPr>
          <w:rFonts w:asciiTheme="minorHAnsi" w:hAnsiTheme="minorHAnsi" w:cs="Arial"/>
          <w:sz w:val="28"/>
          <w:szCs w:val="28"/>
        </w:rPr>
        <w:t>a mutation F508del du gène CFTR et qui ne présentent pas de contre-indication.</w:t>
      </w:r>
    </w:p>
    <w:p w:rsidR="00091BC8" w:rsidRDefault="000250B4" w:rsidP="000250B4">
      <w:pPr>
        <w:pStyle w:val="NormalWeb"/>
        <w:jc w:val="both"/>
        <w:rPr>
          <w:rFonts w:asciiTheme="minorHAnsi" w:hAnsiTheme="minorHAnsi" w:cs="Arial"/>
          <w:sz w:val="28"/>
          <w:szCs w:val="28"/>
        </w:rPr>
      </w:pPr>
      <w:r w:rsidRPr="000250B4">
        <w:rPr>
          <w:rFonts w:asciiTheme="minorHAnsi" w:hAnsiTheme="minorHAnsi" w:cs="Arial"/>
          <w:sz w:val="28"/>
          <w:szCs w:val="28"/>
        </w:rPr>
        <w:t xml:space="preserve">L’ATU </w:t>
      </w:r>
      <w:r w:rsidR="00613754">
        <w:rPr>
          <w:rFonts w:asciiTheme="minorHAnsi" w:hAnsiTheme="minorHAnsi" w:cs="Arial"/>
          <w:sz w:val="28"/>
          <w:szCs w:val="28"/>
        </w:rPr>
        <w:t xml:space="preserve">pour </w:t>
      </w:r>
      <w:r w:rsidR="00A001D7" w:rsidRPr="00CE15AD">
        <w:rPr>
          <w:rFonts w:asciiTheme="minorHAnsi" w:hAnsiTheme="minorHAnsi" w:cs="Arial"/>
          <w:sz w:val="28"/>
          <w:szCs w:val="28"/>
        </w:rPr>
        <w:t>l</w:t>
      </w:r>
      <w:r w:rsidR="00A001D7">
        <w:rPr>
          <w:rFonts w:asciiTheme="minorHAnsi" w:hAnsiTheme="minorHAnsi" w:cs="Arial"/>
          <w:sz w:val="28"/>
          <w:szCs w:val="28"/>
        </w:rPr>
        <w:t>a combinaison</w:t>
      </w:r>
      <w:r w:rsidR="00A001D7" w:rsidRPr="00CE15AD">
        <w:rPr>
          <w:rFonts w:asciiTheme="minorHAnsi" w:hAnsiTheme="minorHAnsi" w:cs="Arial"/>
          <w:sz w:val="28"/>
          <w:szCs w:val="28"/>
        </w:rPr>
        <w:t xml:space="preserve"> </w:t>
      </w:r>
      <w:proofErr w:type="spellStart"/>
      <w:r w:rsidR="00A001D7" w:rsidRPr="00CE15AD">
        <w:rPr>
          <w:rFonts w:asciiTheme="minorHAnsi" w:hAnsiTheme="minorHAnsi" w:cs="Arial"/>
          <w:sz w:val="28"/>
          <w:szCs w:val="28"/>
        </w:rPr>
        <w:t>lumacaftor</w:t>
      </w:r>
      <w:proofErr w:type="spellEnd"/>
      <w:r w:rsidR="00A001D7">
        <w:rPr>
          <w:rFonts w:asciiTheme="minorHAnsi" w:hAnsiTheme="minorHAnsi" w:cs="Arial"/>
          <w:sz w:val="28"/>
          <w:szCs w:val="28"/>
        </w:rPr>
        <w:t>/</w:t>
      </w:r>
      <w:proofErr w:type="spellStart"/>
      <w:r w:rsidR="00A001D7">
        <w:rPr>
          <w:rFonts w:asciiTheme="minorHAnsi" w:hAnsiTheme="minorHAnsi" w:cs="Arial"/>
          <w:sz w:val="28"/>
          <w:szCs w:val="28"/>
        </w:rPr>
        <w:t>ivacaftor</w:t>
      </w:r>
      <w:proofErr w:type="spellEnd"/>
      <w:r w:rsidR="00A001D7">
        <w:rPr>
          <w:rFonts w:asciiTheme="minorHAnsi" w:hAnsiTheme="minorHAnsi" w:cs="Arial"/>
          <w:sz w:val="28"/>
          <w:szCs w:val="28"/>
        </w:rPr>
        <w:t xml:space="preserve"> (200 mg/125 mg)</w:t>
      </w:r>
      <w:r w:rsidR="00A001D7" w:rsidRPr="00CE15AD">
        <w:rPr>
          <w:rFonts w:asciiTheme="minorHAnsi" w:hAnsiTheme="minorHAnsi" w:cs="Arial"/>
          <w:sz w:val="28"/>
          <w:szCs w:val="28"/>
        </w:rPr>
        <w:t xml:space="preserve"> </w:t>
      </w:r>
      <w:r w:rsidRPr="000250B4">
        <w:rPr>
          <w:rFonts w:asciiTheme="minorHAnsi" w:hAnsiTheme="minorHAnsi" w:cs="Arial"/>
          <w:sz w:val="28"/>
          <w:szCs w:val="28"/>
        </w:rPr>
        <w:t xml:space="preserve">se déroule dans le cadre hospitalier. Le traitement devra donc être </w:t>
      </w:r>
      <w:r w:rsidR="00483910">
        <w:rPr>
          <w:rFonts w:asciiTheme="minorHAnsi" w:hAnsiTheme="minorHAnsi" w:cs="Arial"/>
          <w:sz w:val="28"/>
          <w:szCs w:val="28"/>
        </w:rPr>
        <w:t>prescrit par un médecin hospitalier</w:t>
      </w:r>
      <w:r w:rsidR="00483910" w:rsidRPr="00483910">
        <w:rPr>
          <w:rFonts w:asciiTheme="minorHAnsi" w:hAnsiTheme="minorHAnsi" w:cs="Arial"/>
          <w:sz w:val="28"/>
          <w:szCs w:val="28"/>
        </w:rPr>
        <w:t xml:space="preserve"> </w:t>
      </w:r>
      <w:r w:rsidR="00483910">
        <w:rPr>
          <w:rFonts w:asciiTheme="minorHAnsi" w:hAnsiTheme="minorHAnsi" w:cs="Arial"/>
          <w:sz w:val="28"/>
          <w:szCs w:val="28"/>
        </w:rPr>
        <w:t>spécialiste</w:t>
      </w:r>
      <w:r w:rsidR="00483910" w:rsidRPr="000250B4">
        <w:rPr>
          <w:rFonts w:asciiTheme="minorHAnsi" w:hAnsiTheme="minorHAnsi" w:cs="Arial"/>
          <w:sz w:val="28"/>
          <w:szCs w:val="28"/>
        </w:rPr>
        <w:t xml:space="preserve"> dans le traitement de la mucoviscidose</w:t>
      </w:r>
      <w:r w:rsidR="00483910">
        <w:rPr>
          <w:rFonts w:asciiTheme="minorHAnsi" w:hAnsiTheme="minorHAnsi" w:cs="Arial"/>
          <w:sz w:val="28"/>
          <w:szCs w:val="28"/>
        </w:rPr>
        <w:t xml:space="preserve"> et délivré par</w:t>
      </w:r>
      <w:r w:rsidRPr="000250B4">
        <w:rPr>
          <w:rFonts w:asciiTheme="minorHAnsi" w:hAnsiTheme="minorHAnsi" w:cs="Arial"/>
          <w:sz w:val="28"/>
          <w:szCs w:val="28"/>
        </w:rPr>
        <w:t xml:space="preserve"> la pharmacie de l’hôpital.</w:t>
      </w:r>
    </w:p>
    <w:p w:rsidR="00F55168" w:rsidRPr="000D1F53" w:rsidRDefault="00613754" w:rsidP="00FA3018">
      <w:pPr>
        <w:pStyle w:val="Titre1"/>
        <w:numPr>
          <w:ilvl w:val="0"/>
          <w:numId w:val="1"/>
        </w:numPr>
        <w:rPr>
          <w:rFonts w:asciiTheme="minorHAnsi" w:hAnsiTheme="minorHAnsi" w:cs="Arial"/>
          <w:sz w:val="28"/>
          <w:szCs w:val="28"/>
        </w:rPr>
      </w:pPr>
      <w:r>
        <w:rPr>
          <w:rFonts w:asciiTheme="minorHAnsi" w:hAnsiTheme="minorHAnsi" w:cs="Arial"/>
          <w:sz w:val="28"/>
          <w:szCs w:val="28"/>
        </w:rPr>
        <w:t xml:space="preserve"> </w:t>
      </w:r>
      <w:r w:rsidR="00F55168" w:rsidRPr="000D1F53">
        <w:rPr>
          <w:rFonts w:asciiTheme="minorHAnsi" w:hAnsiTheme="minorHAnsi" w:cs="Arial"/>
          <w:sz w:val="28"/>
          <w:szCs w:val="28"/>
        </w:rPr>
        <w:t xml:space="preserve">Est-ce que les enfants de moins de 12 </w:t>
      </w:r>
      <w:r w:rsidR="00867485">
        <w:rPr>
          <w:rFonts w:asciiTheme="minorHAnsi" w:hAnsiTheme="minorHAnsi" w:cs="Arial"/>
          <w:sz w:val="28"/>
          <w:szCs w:val="28"/>
        </w:rPr>
        <w:t xml:space="preserve">ans </w:t>
      </w:r>
      <w:r w:rsidR="00F55168" w:rsidRPr="000D1F53">
        <w:rPr>
          <w:rFonts w:asciiTheme="minorHAnsi" w:hAnsiTheme="minorHAnsi" w:cs="Arial"/>
          <w:sz w:val="28"/>
          <w:szCs w:val="28"/>
        </w:rPr>
        <w:t>pourront bénéficier de ce traitement ?</w:t>
      </w:r>
    </w:p>
    <w:p w:rsidR="00783A78" w:rsidRPr="00886739" w:rsidRDefault="00A628E9" w:rsidP="00FE29BA">
      <w:pPr>
        <w:pStyle w:val="Titre1"/>
        <w:jc w:val="both"/>
        <w:rPr>
          <w:rFonts w:asciiTheme="minorHAnsi" w:hAnsiTheme="minorHAnsi" w:cs="Arial"/>
          <w:b w:val="0"/>
          <w:sz w:val="28"/>
          <w:szCs w:val="28"/>
        </w:rPr>
      </w:pPr>
      <w:r w:rsidRPr="00886739">
        <w:rPr>
          <w:rFonts w:asciiTheme="minorHAnsi" w:hAnsiTheme="minorHAnsi" w:cs="Arial"/>
          <w:b w:val="0"/>
          <w:sz w:val="28"/>
          <w:szCs w:val="28"/>
        </w:rPr>
        <w:t>La</w:t>
      </w:r>
      <w:r w:rsidR="00F55168" w:rsidRPr="00886739">
        <w:rPr>
          <w:rFonts w:asciiTheme="minorHAnsi" w:hAnsiTheme="minorHAnsi" w:cs="Arial"/>
          <w:b w:val="0"/>
          <w:sz w:val="28"/>
          <w:szCs w:val="28"/>
        </w:rPr>
        <w:t xml:space="preserve"> </w:t>
      </w:r>
      <w:r w:rsidRPr="00886739">
        <w:rPr>
          <w:rFonts w:asciiTheme="minorHAnsi" w:hAnsiTheme="minorHAnsi" w:cs="Arial"/>
          <w:b w:val="0"/>
          <w:sz w:val="28"/>
          <w:szCs w:val="28"/>
        </w:rPr>
        <w:t>combinaison doit encore être testée chez les enfants de moins de 12 ans, afin d’en démontrer l’efficacité et la tol</w:t>
      </w:r>
      <w:r w:rsidR="003A480B">
        <w:rPr>
          <w:rFonts w:asciiTheme="minorHAnsi" w:hAnsiTheme="minorHAnsi" w:cs="Arial"/>
          <w:b w:val="0"/>
          <w:sz w:val="28"/>
          <w:szCs w:val="28"/>
        </w:rPr>
        <w:t>é</w:t>
      </w:r>
      <w:r w:rsidRPr="00886739">
        <w:rPr>
          <w:rFonts w:asciiTheme="minorHAnsi" w:hAnsiTheme="minorHAnsi" w:cs="Arial"/>
          <w:b w:val="0"/>
          <w:sz w:val="28"/>
          <w:szCs w:val="28"/>
        </w:rPr>
        <w:t>rance dans cette tranche d’</w:t>
      </w:r>
      <w:r>
        <w:rPr>
          <w:rFonts w:asciiTheme="minorHAnsi" w:hAnsiTheme="minorHAnsi" w:cs="Arial"/>
          <w:b w:val="0"/>
          <w:sz w:val="28"/>
          <w:szCs w:val="28"/>
        </w:rPr>
        <w:t>âge.</w:t>
      </w:r>
      <w:r w:rsidR="00F55168" w:rsidRPr="00886739">
        <w:rPr>
          <w:rFonts w:asciiTheme="minorHAnsi" w:hAnsiTheme="minorHAnsi" w:cs="Arial"/>
          <w:b w:val="0"/>
          <w:sz w:val="28"/>
          <w:szCs w:val="28"/>
        </w:rPr>
        <w:t xml:space="preserve"> </w:t>
      </w:r>
      <w:r w:rsidR="00CC01C7">
        <w:rPr>
          <w:rFonts w:asciiTheme="minorHAnsi" w:hAnsiTheme="minorHAnsi" w:cs="Arial"/>
          <w:b w:val="0"/>
          <w:sz w:val="28"/>
          <w:szCs w:val="28"/>
        </w:rPr>
        <w:t>Le laboratoire</w:t>
      </w:r>
      <w:r w:rsidRPr="00A628E9">
        <w:rPr>
          <w:rFonts w:asciiTheme="minorHAnsi" w:hAnsiTheme="minorHAnsi" w:cs="Arial"/>
          <w:b w:val="0"/>
          <w:sz w:val="28"/>
          <w:szCs w:val="28"/>
        </w:rPr>
        <w:t xml:space="preserve"> </w:t>
      </w:r>
      <w:r w:rsidR="00F55168" w:rsidRPr="00886739">
        <w:rPr>
          <w:rFonts w:asciiTheme="minorHAnsi" w:hAnsiTheme="minorHAnsi" w:cs="Arial"/>
          <w:b w:val="0"/>
          <w:sz w:val="28"/>
          <w:szCs w:val="28"/>
        </w:rPr>
        <w:t xml:space="preserve">Vertex </w:t>
      </w:r>
      <w:r w:rsidR="00CC01C7">
        <w:rPr>
          <w:rFonts w:asciiTheme="minorHAnsi" w:hAnsiTheme="minorHAnsi" w:cs="Arial"/>
          <w:b w:val="0"/>
          <w:sz w:val="28"/>
          <w:szCs w:val="28"/>
        </w:rPr>
        <w:t>Pharmaceuticals</w:t>
      </w:r>
      <w:r w:rsidR="00613754">
        <w:rPr>
          <w:rFonts w:asciiTheme="minorHAnsi" w:hAnsiTheme="minorHAnsi" w:cs="Arial"/>
          <w:b w:val="0"/>
          <w:sz w:val="28"/>
          <w:szCs w:val="28"/>
        </w:rPr>
        <w:t xml:space="preserve"> a</w:t>
      </w:r>
      <w:r w:rsidR="00CA5310">
        <w:rPr>
          <w:rFonts w:asciiTheme="minorHAnsi" w:hAnsiTheme="minorHAnsi" w:cs="Arial"/>
          <w:b w:val="0"/>
          <w:sz w:val="28"/>
          <w:szCs w:val="28"/>
        </w:rPr>
        <w:t xml:space="preserve"> </w:t>
      </w:r>
      <w:r w:rsidR="00483910">
        <w:rPr>
          <w:rFonts w:asciiTheme="minorHAnsi" w:hAnsiTheme="minorHAnsi" w:cs="Arial"/>
          <w:b w:val="0"/>
          <w:sz w:val="28"/>
          <w:szCs w:val="28"/>
        </w:rPr>
        <w:t>lancé</w:t>
      </w:r>
      <w:r w:rsidR="00CA5310">
        <w:rPr>
          <w:rFonts w:asciiTheme="minorHAnsi" w:hAnsiTheme="minorHAnsi" w:cs="Arial"/>
          <w:b w:val="0"/>
          <w:sz w:val="28"/>
          <w:szCs w:val="28"/>
        </w:rPr>
        <w:t xml:space="preserve"> en France, </w:t>
      </w:r>
      <w:r w:rsidR="00483910">
        <w:rPr>
          <w:rFonts w:asciiTheme="minorHAnsi" w:hAnsiTheme="minorHAnsi" w:cs="Arial"/>
          <w:b w:val="0"/>
          <w:sz w:val="28"/>
          <w:szCs w:val="28"/>
        </w:rPr>
        <w:t>au</w:t>
      </w:r>
      <w:r w:rsidR="00CA5310">
        <w:rPr>
          <w:rFonts w:asciiTheme="minorHAnsi" w:hAnsiTheme="minorHAnsi" w:cs="Arial"/>
          <w:b w:val="0"/>
          <w:sz w:val="28"/>
          <w:szCs w:val="28"/>
        </w:rPr>
        <w:t xml:space="preserve"> dernier trimestre 2015, </w:t>
      </w:r>
      <w:r w:rsidR="0009629A">
        <w:rPr>
          <w:rFonts w:asciiTheme="minorHAnsi" w:hAnsiTheme="minorHAnsi" w:cs="Arial"/>
          <w:b w:val="0"/>
          <w:sz w:val="28"/>
          <w:szCs w:val="28"/>
        </w:rPr>
        <w:t>un essai clinique</w:t>
      </w:r>
      <w:r w:rsidRPr="00886739">
        <w:rPr>
          <w:rFonts w:asciiTheme="minorHAnsi" w:hAnsiTheme="minorHAnsi" w:cs="Arial"/>
          <w:b w:val="0"/>
          <w:sz w:val="28"/>
          <w:szCs w:val="28"/>
        </w:rPr>
        <w:t xml:space="preserve"> chez </w:t>
      </w:r>
      <w:r w:rsidR="00CA5310">
        <w:rPr>
          <w:rFonts w:asciiTheme="minorHAnsi" w:hAnsiTheme="minorHAnsi" w:cs="Arial"/>
          <w:b w:val="0"/>
          <w:sz w:val="28"/>
          <w:szCs w:val="28"/>
        </w:rPr>
        <w:t>les</w:t>
      </w:r>
      <w:r w:rsidR="00CA5310" w:rsidRPr="00886739">
        <w:rPr>
          <w:rFonts w:asciiTheme="minorHAnsi" w:hAnsiTheme="minorHAnsi" w:cs="Arial"/>
          <w:b w:val="0"/>
          <w:sz w:val="28"/>
          <w:szCs w:val="28"/>
        </w:rPr>
        <w:t xml:space="preserve"> </w:t>
      </w:r>
      <w:r w:rsidRPr="00886739">
        <w:rPr>
          <w:rFonts w:asciiTheme="minorHAnsi" w:hAnsiTheme="minorHAnsi" w:cs="Arial"/>
          <w:b w:val="0"/>
          <w:sz w:val="28"/>
          <w:szCs w:val="28"/>
        </w:rPr>
        <w:t xml:space="preserve">enfants </w:t>
      </w:r>
      <w:r w:rsidRPr="009A099C">
        <w:rPr>
          <w:rFonts w:asciiTheme="minorHAnsi" w:hAnsiTheme="minorHAnsi" w:cs="Arial"/>
          <w:b w:val="0"/>
          <w:sz w:val="28"/>
          <w:szCs w:val="28"/>
        </w:rPr>
        <w:t>homozygotes pour</w:t>
      </w:r>
      <w:r w:rsidRPr="00B11687">
        <w:rPr>
          <w:rFonts w:asciiTheme="minorHAnsi" w:hAnsiTheme="minorHAnsi" w:cs="Arial"/>
          <w:sz w:val="28"/>
          <w:szCs w:val="28"/>
        </w:rPr>
        <w:t xml:space="preserve"> </w:t>
      </w:r>
      <w:r>
        <w:rPr>
          <w:rFonts w:asciiTheme="minorHAnsi" w:hAnsiTheme="minorHAnsi" w:cs="Arial"/>
          <w:b w:val="0"/>
          <w:sz w:val="28"/>
          <w:szCs w:val="28"/>
        </w:rPr>
        <w:t xml:space="preserve">la mutation </w:t>
      </w:r>
      <w:r w:rsidR="0081391A" w:rsidRPr="00B0500D">
        <w:rPr>
          <w:rFonts w:asciiTheme="minorHAnsi" w:hAnsiTheme="minorHAnsi" w:cs="Arial"/>
          <w:b w:val="0"/>
          <w:sz w:val="28"/>
          <w:szCs w:val="28"/>
        </w:rPr>
        <w:t>F508de</w:t>
      </w:r>
      <w:r w:rsidR="00CF6E04" w:rsidRPr="00B0500D">
        <w:rPr>
          <w:rFonts w:asciiTheme="minorHAnsi" w:hAnsiTheme="minorHAnsi" w:cs="Arial"/>
          <w:b w:val="0"/>
          <w:sz w:val="28"/>
          <w:szCs w:val="28"/>
        </w:rPr>
        <w:t>l</w:t>
      </w:r>
      <w:r w:rsidRPr="0081391A">
        <w:rPr>
          <w:rFonts w:asciiTheme="minorHAnsi" w:hAnsiTheme="minorHAnsi" w:cs="Arial"/>
          <w:b w:val="0"/>
          <w:sz w:val="28"/>
          <w:szCs w:val="28"/>
        </w:rPr>
        <w:t xml:space="preserve"> </w:t>
      </w:r>
      <w:r w:rsidR="00886739" w:rsidRPr="0081391A">
        <w:rPr>
          <w:rFonts w:asciiTheme="minorHAnsi" w:hAnsiTheme="minorHAnsi" w:cs="Arial"/>
          <w:b w:val="0"/>
          <w:sz w:val="28"/>
          <w:szCs w:val="28"/>
        </w:rPr>
        <w:t>â</w:t>
      </w:r>
      <w:r w:rsidR="00886739" w:rsidRPr="00886739">
        <w:rPr>
          <w:rFonts w:asciiTheme="minorHAnsi" w:hAnsiTheme="minorHAnsi" w:cs="Arial"/>
          <w:b w:val="0"/>
          <w:sz w:val="28"/>
          <w:szCs w:val="28"/>
        </w:rPr>
        <w:t>g</w:t>
      </w:r>
      <w:r w:rsidR="00886739">
        <w:rPr>
          <w:rFonts w:asciiTheme="minorHAnsi" w:hAnsiTheme="minorHAnsi" w:cs="Arial"/>
          <w:b w:val="0"/>
          <w:sz w:val="28"/>
          <w:szCs w:val="28"/>
        </w:rPr>
        <w:t>é</w:t>
      </w:r>
      <w:r w:rsidR="00886739" w:rsidRPr="00886739">
        <w:rPr>
          <w:rFonts w:asciiTheme="minorHAnsi" w:hAnsiTheme="minorHAnsi" w:cs="Arial"/>
          <w:b w:val="0"/>
          <w:sz w:val="28"/>
          <w:szCs w:val="28"/>
        </w:rPr>
        <w:t>s</w:t>
      </w:r>
      <w:r w:rsidR="00F55168" w:rsidRPr="00886739">
        <w:rPr>
          <w:rFonts w:asciiTheme="minorHAnsi" w:hAnsiTheme="minorHAnsi" w:cs="Arial"/>
          <w:b w:val="0"/>
          <w:sz w:val="28"/>
          <w:szCs w:val="28"/>
        </w:rPr>
        <w:t xml:space="preserve"> </w:t>
      </w:r>
      <w:r>
        <w:rPr>
          <w:rFonts w:asciiTheme="minorHAnsi" w:hAnsiTheme="minorHAnsi" w:cs="Arial"/>
          <w:b w:val="0"/>
          <w:sz w:val="28"/>
          <w:szCs w:val="28"/>
        </w:rPr>
        <w:t xml:space="preserve">de </w:t>
      </w:r>
      <w:r w:rsidR="00F55168" w:rsidRPr="00886739">
        <w:rPr>
          <w:rFonts w:asciiTheme="minorHAnsi" w:hAnsiTheme="minorHAnsi" w:cs="Arial"/>
          <w:b w:val="0"/>
          <w:sz w:val="28"/>
          <w:szCs w:val="28"/>
        </w:rPr>
        <w:t xml:space="preserve">6 </w:t>
      </w:r>
      <w:r>
        <w:rPr>
          <w:rFonts w:asciiTheme="minorHAnsi" w:hAnsiTheme="minorHAnsi" w:cs="Arial"/>
          <w:b w:val="0"/>
          <w:sz w:val="28"/>
          <w:szCs w:val="28"/>
        </w:rPr>
        <w:t>à</w:t>
      </w:r>
      <w:r w:rsidRPr="00886739">
        <w:rPr>
          <w:rFonts w:asciiTheme="minorHAnsi" w:hAnsiTheme="minorHAnsi" w:cs="Arial"/>
          <w:b w:val="0"/>
          <w:sz w:val="28"/>
          <w:szCs w:val="28"/>
        </w:rPr>
        <w:t xml:space="preserve"> </w:t>
      </w:r>
      <w:r w:rsidR="00F55168" w:rsidRPr="00886739">
        <w:rPr>
          <w:rFonts w:asciiTheme="minorHAnsi" w:hAnsiTheme="minorHAnsi" w:cs="Arial"/>
          <w:b w:val="0"/>
          <w:sz w:val="28"/>
          <w:szCs w:val="28"/>
        </w:rPr>
        <w:t xml:space="preserve">11 </w:t>
      </w:r>
      <w:r>
        <w:rPr>
          <w:rFonts w:asciiTheme="minorHAnsi" w:hAnsiTheme="minorHAnsi" w:cs="Arial"/>
          <w:b w:val="0"/>
          <w:sz w:val="28"/>
          <w:szCs w:val="28"/>
        </w:rPr>
        <w:t>ans</w:t>
      </w:r>
      <w:r w:rsidR="00F55168" w:rsidRPr="00886739">
        <w:rPr>
          <w:rFonts w:asciiTheme="minorHAnsi" w:hAnsiTheme="minorHAnsi" w:cs="Arial"/>
          <w:b w:val="0"/>
          <w:sz w:val="28"/>
          <w:szCs w:val="28"/>
        </w:rPr>
        <w:t>.</w:t>
      </w:r>
    </w:p>
    <w:p w:rsidR="00F55168" w:rsidRPr="000D1F53" w:rsidRDefault="00886739" w:rsidP="00FA3018">
      <w:pPr>
        <w:pStyle w:val="Titre1"/>
        <w:numPr>
          <w:ilvl w:val="0"/>
          <w:numId w:val="1"/>
        </w:numPr>
        <w:rPr>
          <w:rFonts w:asciiTheme="minorHAnsi" w:hAnsiTheme="minorHAnsi" w:cs="Arial"/>
          <w:sz w:val="28"/>
          <w:szCs w:val="28"/>
        </w:rPr>
      </w:pPr>
      <w:r>
        <w:rPr>
          <w:rFonts w:asciiTheme="minorHAnsi" w:hAnsiTheme="minorHAnsi" w:cs="Arial"/>
          <w:sz w:val="28"/>
          <w:szCs w:val="28"/>
        </w:rPr>
        <w:t xml:space="preserve"> </w:t>
      </w:r>
      <w:r w:rsidR="00F55168" w:rsidRPr="000D1F53">
        <w:rPr>
          <w:rFonts w:asciiTheme="minorHAnsi" w:hAnsiTheme="minorHAnsi" w:cs="Arial"/>
          <w:sz w:val="28"/>
          <w:szCs w:val="28"/>
        </w:rPr>
        <w:t>Est-ce qu’</w:t>
      </w:r>
      <w:r w:rsidR="001B7CB2" w:rsidRPr="000D1F53">
        <w:rPr>
          <w:rFonts w:asciiTheme="minorHAnsi" w:hAnsiTheme="minorHAnsi" w:cs="Arial"/>
          <w:sz w:val="28"/>
          <w:szCs w:val="28"/>
        </w:rPr>
        <w:t>on connait les effe</w:t>
      </w:r>
      <w:r w:rsidR="00F55168" w:rsidRPr="000D1F53">
        <w:rPr>
          <w:rFonts w:asciiTheme="minorHAnsi" w:hAnsiTheme="minorHAnsi" w:cs="Arial"/>
          <w:sz w:val="28"/>
          <w:szCs w:val="28"/>
        </w:rPr>
        <w:t>ts indésirables de cette combinaison thérapeutique ?</w:t>
      </w:r>
    </w:p>
    <w:p w:rsidR="00160D19" w:rsidRPr="009C2525" w:rsidRDefault="0081391A" w:rsidP="00B0500D">
      <w:pPr>
        <w:pStyle w:val="Titre1"/>
        <w:jc w:val="both"/>
        <w:rPr>
          <w:rFonts w:asciiTheme="minorHAnsi" w:hAnsiTheme="minorHAnsi" w:cs="Arial"/>
          <w:b w:val="0"/>
          <w:sz w:val="28"/>
          <w:szCs w:val="28"/>
        </w:rPr>
      </w:pPr>
      <w:proofErr w:type="spellStart"/>
      <w:r>
        <w:rPr>
          <w:rFonts w:asciiTheme="minorHAnsi" w:hAnsiTheme="minorHAnsi" w:cs="Arial"/>
          <w:b w:val="0"/>
          <w:sz w:val="28"/>
          <w:szCs w:val="28"/>
        </w:rPr>
        <w:t>Orkambi</w:t>
      </w:r>
      <w:proofErr w:type="spellEnd"/>
      <w:r>
        <w:rPr>
          <w:rFonts w:asciiTheme="minorHAnsi" w:hAnsiTheme="minorHAnsi" w:cs="Arial"/>
          <w:b w:val="0"/>
          <w:sz w:val="28"/>
          <w:szCs w:val="28"/>
        </w:rPr>
        <w:t>®</w:t>
      </w:r>
      <w:r w:rsidR="009C2525">
        <w:rPr>
          <w:rFonts w:asciiTheme="minorHAnsi" w:hAnsiTheme="minorHAnsi" w:cs="Arial"/>
          <w:b w:val="0"/>
          <w:sz w:val="28"/>
          <w:szCs w:val="28"/>
        </w:rPr>
        <w:t xml:space="preserve"> a été </w:t>
      </w:r>
      <w:r w:rsidR="006101FC">
        <w:rPr>
          <w:rFonts w:asciiTheme="minorHAnsi" w:hAnsiTheme="minorHAnsi" w:cs="Arial"/>
          <w:b w:val="0"/>
          <w:sz w:val="28"/>
          <w:szCs w:val="28"/>
        </w:rPr>
        <w:t>« </w:t>
      </w:r>
      <w:r w:rsidR="009C2525">
        <w:rPr>
          <w:rFonts w:asciiTheme="minorHAnsi" w:hAnsiTheme="minorHAnsi" w:cs="Arial"/>
          <w:b w:val="0"/>
          <w:sz w:val="28"/>
          <w:szCs w:val="28"/>
        </w:rPr>
        <w:t>généralement bien toléré</w:t>
      </w:r>
      <w:r w:rsidR="006101FC">
        <w:rPr>
          <w:rFonts w:asciiTheme="minorHAnsi" w:hAnsiTheme="minorHAnsi" w:cs="Arial"/>
          <w:b w:val="0"/>
          <w:sz w:val="28"/>
          <w:szCs w:val="28"/>
        </w:rPr>
        <w:t> »</w:t>
      </w:r>
      <w:r w:rsidR="009C2525">
        <w:rPr>
          <w:rFonts w:asciiTheme="minorHAnsi" w:hAnsiTheme="minorHAnsi" w:cs="Arial"/>
          <w:b w:val="0"/>
          <w:sz w:val="28"/>
          <w:szCs w:val="28"/>
        </w:rPr>
        <w:t xml:space="preserve"> dans le cadre des deux </w:t>
      </w:r>
      <w:r w:rsidR="0009629A">
        <w:rPr>
          <w:rFonts w:asciiTheme="minorHAnsi" w:hAnsiTheme="minorHAnsi" w:cs="Arial"/>
          <w:b w:val="0"/>
          <w:sz w:val="28"/>
          <w:szCs w:val="28"/>
        </w:rPr>
        <w:t>essais cliniques</w:t>
      </w:r>
      <w:r w:rsidR="00441A33">
        <w:rPr>
          <w:rFonts w:asciiTheme="minorHAnsi" w:hAnsiTheme="minorHAnsi" w:cs="Arial"/>
          <w:b w:val="0"/>
          <w:sz w:val="28"/>
          <w:szCs w:val="28"/>
        </w:rPr>
        <w:t xml:space="preserve"> </w:t>
      </w:r>
      <w:r w:rsidR="006101FC">
        <w:rPr>
          <w:rFonts w:asciiTheme="minorHAnsi" w:hAnsiTheme="minorHAnsi" w:cs="Arial"/>
          <w:b w:val="0"/>
          <w:sz w:val="28"/>
          <w:szCs w:val="28"/>
        </w:rPr>
        <w:t xml:space="preserve">et </w:t>
      </w:r>
      <w:r w:rsidR="00CA5310">
        <w:rPr>
          <w:rFonts w:asciiTheme="minorHAnsi" w:hAnsiTheme="minorHAnsi" w:cs="Arial"/>
          <w:b w:val="0"/>
          <w:sz w:val="28"/>
          <w:szCs w:val="28"/>
        </w:rPr>
        <w:t xml:space="preserve">cela se confirme </w:t>
      </w:r>
      <w:r w:rsidR="00783A78">
        <w:rPr>
          <w:rFonts w:asciiTheme="minorHAnsi" w:hAnsiTheme="minorHAnsi" w:cs="Arial"/>
          <w:b w:val="0"/>
          <w:sz w:val="28"/>
          <w:szCs w:val="28"/>
        </w:rPr>
        <w:t xml:space="preserve">avec les </w:t>
      </w:r>
      <w:r w:rsidR="00CA5310">
        <w:rPr>
          <w:rFonts w:asciiTheme="minorHAnsi" w:hAnsiTheme="minorHAnsi" w:cs="Arial"/>
          <w:b w:val="0"/>
          <w:sz w:val="28"/>
          <w:szCs w:val="28"/>
        </w:rPr>
        <w:t>données sur 48 semaines de traitement.</w:t>
      </w:r>
      <w:r w:rsidR="00613754">
        <w:rPr>
          <w:rFonts w:asciiTheme="minorHAnsi" w:hAnsiTheme="minorHAnsi" w:cs="Arial"/>
          <w:b w:val="0"/>
          <w:sz w:val="28"/>
          <w:szCs w:val="28"/>
        </w:rPr>
        <w:t xml:space="preserve"> </w:t>
      </w:r>
      <w:r w:rsidR="00A001D7">
        <w:rPr>
          <w:rFonts w:asciiTheme="minorHAnsi" w:hAnsiTheme="minorHAnsi" w:cs="Arial"/>
          <w:b w:val="0"/>
          <w:sz w:val="28"/>
          <w:szCs w:val="28"/>
        </w:rPr>
        <w:t>C</w:t>
      </w:r>
      <w:r w:rsidR="006101FC">
        <w:rPr>
          <w:rFonts w:asciiTheme="minorHAnsi" w:hAnsiTheme="minorHAnsi" w:cs="Arial"/>
          <w:b w:val="0"/>
          <w:sz w:val="28"/>
          <w:szCs w:val="28"/>
        </w:rPr>
        <w:t xml:space="preserve">eci n’exclut pas la </w:t>
      </w:r>
      <w:r w:rsidR="00613754">
        <w:rPr>
          <w:rFonts w:asciiTheme="minorHAnsi" w:hAnsiTheme="minorHAnsi" w:cs="Arial"/>
          <w:b w:val="0"/>
          <w:sz w:val="28"/>
          <w:szCs w:val="28"/>
        </w:rPr>
        <w:t>survenue d’effets indésirables</w:t>
      </w:r>
      <w:r w:rsidR="006101FC">
        <w:rPr>
          <w:rFonts w:asciiTheme="minorHAnsi" w:hAnsiTheme="minorHAnsi" w:cs="Arial"/>
          <w:b w:val="0"/>
          <w:sz w:val="28"/>
          <w:szCs w:val="28"/>
        </w:rPr>
        <w:t>, qui</w:t>
      </w:r>
      <w:r w:rsidR="00613754">
        <w:rPr>
          <w:rFonts w:asciiTheme="minorHAnsi" w:hAnsiTheme="minorHAnsi" w:cs="Arial"/>
          <w:b w:val="0"/>
          <w:sz w:val="28"/>
          <w:szCs w:val="28"/>
        </w:rPr>
        <w:t xml:space="preserve"> sera suivie tout au long du traitement par </w:t>
      </w:r>
      <w:proofErr w:type="spellStart"/>
      <w:r w:rsidR="00613754">
        <w:rPr>
          <w:rFonts w:asciiTheme="minorHAnsi" w:hAnsiTheme="minorHAnsi" w:cs="Arial"/>
          <w:b w:val="0"/>
          <w:sz w:val="28"/>
          <w:szCs w:val="28"/>
        </w:rPr>
        <w:t>ATUc</w:t>
      </w:r>
      <w:proofErr w:type="spellEnd"/>
      <w:r w:rsidR="009A5DCB">
        <w:rPr>
          <w:rFonts w:asciiTheme="minorHAnsi" w:hAnsiTheme="minorHAnsi" w:cs="Arial"/>
          <w:b w:val="0"/>
          <w:sz w:val="28"/>
          <w:szCs w:val="28"/>
        </w:rPr>
        <w:t>,</w:t>
      </w:r>
      <w:r w:rsidR="00613754">
        <w:rPr>
          <w:rFonts w:asciiTheme="minorHAnsi" w:hAnsiTheme="minorHAnsi" w:cs="Arial"/>
          <w:b w:val="0"/>
          <w:sz w:val="28"/>
          <w:szCs w:val="28"/>
        </w:rPr>
        <w:t xml:space="preserve"> mais aussi durant le traitement dans la « vraie vie ».</w:t>
      </w:r>
      <w:r w:rsidR="00441A33">
        <w:rPr>
          <w:rFonts w:asciiTheme="minorHAnsi" w:hAnsiTheme="minorHAnsi" w:cs="Arial"/>
          <w:b w:val="0"/>
          <w:sz w:val="28"/>
          <w:szCs w:val="28"/>
        </w:rPr>
        <w:t xml:space="preserve"> Les effets indésirables éventuels peuvent être déclarés sur le site de l’Agence nationale de sécurité du médicament (ANSM).</w:t>
      </w:r>
    </w:p>
    <w:p w:rsidR="001B7CB2" w:rsidRPr="000D1F53" w:rsidRDefault="009C2525" w:rsidP="00FA3018">
      <w:pPr>
        <w:pStyle w:val="Titre1"/>
        <w:numPr>
          <w:ilvl w:val="0"/>
          <w:numId w:val="1"/>
        </w:numPr>
        <w:rPr>
          <w:rFonts w:asciiTheme="minorHAnsi" w:hAnsiTheme="minorHAnsi" w:cs="Arial"/>
          <w:sz w:val="28"/>
          <w:szCs w:val="28"/>
        </w:rPr>
      </w:pPr>
      <w:r>
        <w:rPr>
          <w:rFonts w:asciiTheme="minorHAnsi" w:hAnsiTheme="minorHAnsi" w:cs="Arial"/>
          <w:sz w:val="28"/>
          <w:szCs w:val="28"/>
        </w:rPr>
        <w:t xml:space="preserve"> </w:t>
      </w:r>
      <w:r w:rsidR="001B7CB2" w:rsidRPr="000D1F53">
        <w:rPr>
          <w:rFonts w:asciiTheme="minorHAnsi" w:hAnsiTheme="minorHAnsi" w:cs="Arial"/>
          <w:sz w:val="28"/>
          <w:szCs w:val="28"/>
        </w:rPr>
        <w:t xml:space="preserve">Est-ce que cette nouvelle thérapie va guérir les malades homozygotes pour la </w:t>
      </w:r>
      <w:r w:rsidR="005D615F">
        <w:rPr>
          <w:rFonts w:asciiTheme="minorHAnsi" w:hAnsiTheme="minorHAnsi" w:cs="Arial"/>
          <w:sz w:val="28"/>
          <w:szCs w:val="28"/>
        </w:rPr>
        <w:t xml:space="preserve">mutation </w:t>
      </w:r>
      <w:r w:rsidR="00CF6E04">
        <w:rPr>
          <w:rFonts w:asciiTheme="minorHAnsi" w:hAnsiTheme="minorHAnsi" w:cs="Arial"/>
          <w:sz w:val="28"/>
          <w:szCs w:val="28"/>
        </w:rPr>
        <w:t>F508del</w:t>
      </w:r>
      <w:r w:rsidR="001B7CB2" w:rsidRPr="000D1F53">
        <w:rPr>
          <w:rFonts w:asciiTheme="minorHAnsi" w:hAnsiTheme="minorHAnsi" w:cs="Arial"/>
          <w:sz w:val="28"/>
          <w:szCs w:val="28"/>
        </w:rPr>
        <w:t xml:space="preserve"> ?</w:t>
      </w:r>
    </w:p>
    <w:p w:rsidR="009672DF" w:rsidRDefault="0081391A" w:rsidP="00B0500D">
      <w:pPr>
        <w:spacing w:before="100" w:beforeAutospacing="1" w:after="100" w:afterAutospacing="1" w:line="285" w:lineRule="atLeast"/>
        <w:jc w:val="both"/>
        <w:rPr>
          <w:rFonts w:eastAsia="Times New Roman" w:cs="Arial"/>
          <w:color w:val="333333"/>
          <w:sz w:val="28"/>
          <w:szCs w:val="28"/>
          <w:lang w:eastAsia="fr-FR"/>
        </w:rPr>
      </w:pPr>
      <w:proofErr w:type="spellStart"/>
      <w:r w:rsidRPr="00B0500D">
        <w:rPr>
          <w:rFonts w:cs="Arial"/>
          <w:sz w:val="28"/>
          <w:szCs w:val="28"/>
        </w:rPr>
        <w:t>Orkambi</w:t>
      </w:r>
      <w:proofErr w:type="spellEnd"/>
      <w:r w:rsidRPr="00B0500D">
        <w:rPr>
          <w:rFonts w:cs="Arial"/>
          <w:sz w:val="28"/>
          <w:szCs w:val="28"/>
        </w:rPr>
        <w:t xml:space="preserve">® </w:t>
      </w:r>
      <w:r w:rsidR="005F6393" w:rsidRPr="0081391A">
        <w:rPr>
          <w:rFonts w:eastAsia="Times New Roman" w:cs="Arial"/>
          <w:color w:val="333333"/>
          <w:sz w:val="28"/>
          <w:szCs w:val="28"/>
          <w:lang w:eastAsia="fr-FR"/>
        </w:rPr>
        <w:t>ne guérit pas de</w:t>
      </w:r>
      <w:r w:rsidR="005D615F" w:rsidRPr="0081391A">
        <w:rPr>
          <w:rFonts w:eastAsia="Times New Roman" w:cs="Arial"/>
          <w:color w:val="333333"/>
          <w:sz w:val="28"/>
          <w:szCs w:val="28"/>
          <w:lang w:eastAsia="fr-FR"/>
        </w:rPr>
        <w:t xml:space="preserve"> la mucoviscidose</w:t>
      </w:r>
      <w:r w:rsidR="00E345A7" w:rsidRPr="0081391A">
        <w:rPr>
          <w:rFonts w:eastAsia="Times New Roman" w:cs="Arial"/>
          <w:color w:val="333333"/>
          <w:sz w:val="28"/>
          <w:szCs w:val="28"/>
          <w:lang w:eastAsia="fr-FR"/>
        </w:rPr>
        <w:t>. M</w:t>
      </w:r>
      <w:r w:rsidR="005D615F" w:rsidRPr="0081391A">
        <w:rPr>
          <w:rFonts w:eastAsia="Times New Roman" w:cs="Arial"/>
          <w:color w:val="333333"/>
          <w:sz w:val="28"/>
          <w:szCs w:val="28"/>
          <w:lang w:eastAsia="fr-FR"/>
        </w:rPr>
        <w:t xml:space="preserve">ais les résultats des </w:t>
      </w:r>
      <w:r w:rsidR="0009629A">
        <w:rPr>
          <w:rFonts w:eastAsia="Times New Roman" w:cs="Arial"/>
          <w:color w:val="333333"/>
          <w:sz w:val="28"/>
          <w:szCs w:val="28"/>
          <w:lang w:eastAsia="fr-FR"/>
        </w:rPr>
        <w:t>essais</w:t>
      </w:r>
      <w:r w:rsidR="0009629A" w:rsidRPr="0081391A">
        <w:rPr>
          <w:rFonts w:eastAsia="Times New Roman" w:cs="Arial"/>
          <w:color w:val="333333"/>
          <w:sz w:val="28"/>
          <w:szCs w:val="28"/>
          <w:lang w:eastAsia="fr-FR"/>
        </w:rPr>
        <w:t xml:space="preserve"> </w:t>
      </w:r>
      <w:r w:rsidR="005D615F" w:rsidRPr="0081391A">
        <w:rPr>
          <w:rFonts w:eastAsia="Times New Roman" w:cs="Arial"/>
          <w:color w:val="333333"/>
          <w:sz w:val="28"/>
          <w:szCs w:val="28"/>
          <w:lang w:eastAsia="fr-FR"/>
        </w:rPr>
        <w:t>de</w:t>
      </w:r>
      <w:r w:rsidR="005D615F">
        <w:rPr>
          <w:rFonts w:eastAsia="Times New Roman" w:cs="Arial"/>
          <w:color w:val="333333"/>
          <w:sz w:val="28"/>
          <w:szCs w:val="28"/>
          <w:lang w:eastAsia="fr-FR"/>
        </w:rPr>
        <w:t xml:space="preserve"> phase 3 suggèrent qu’on peut en attendre une amélioration de la fonction respiratoire et d’autres marqueurs importants </w:t>
      </w:r>
      <w:r w:rsidR="00E345A7">
        <w:rPr>
          <w:rFonts w:eastAsia="Times New Roman" w:cs="Arial"/>
          <w:color w:val="333333"/>
          <w:sz w:val="28"/>
          <w:szCs w:val="28"/>
          <w:lang w:eastAsia="fr-FR"/>
        </w:rPr>
        <w:t>de l’état de santé des patients</w:t>
      </w:r>
      <w:r w:rsidR="005D615F">
        <w:rPr>
          <w:rFonts w:eastAsia="Times New Roman" w:cs="Arial"/>
          <w:color w:val="333333"/>
          <w:sz w:val="28"/>
          <w:szCs w:val="28"/>
          <w:lang w:eastAsia="fr-FR"/>
        </w:rPr>
        <w:t xml:space="preserve"> en s’attaquant directement à l’anomalie de la protéine CFTR causée par la mutation du gène.</w:t>
      </w:r>
    </w:p>
    <w:p w:rsidR="009A5DCB" w:rsidRDefault="009A5DCB" w:rsidP="00B0500D">
      <w:pPr>
        <w:spacing w:before="100" w:beforeAutospacing="1" w:after="100" w:afterAutospacing="1" w:line="285" w:lineRule="atLeast"/>
        <w:jc w:val="both"/>
        <w:rPr>
          <w:rFonts w:eastAsia="Times New Roman" w:cs="Arial"/>
          <w:color w:val="333333"/>
          <w:sz w:val="28"/>
          <w:szCs w:val="28"/>
          <w:lang w:eastAsia="fr-FR"/>
        </w:rPr>
      </w:pPr>
    </w:p>
    <w:p w:rsidR="009A5DCB" w:rsidRPr="005F01F1" w:rsidRDefault="009A5DCB" w:rsidP="00B0500D">
      <w:pPr>
        <w:spacing w:before="100" w:beforeAutospacing="1" w:after="100" w:afterAutospacing="1" w:line="285" w:lineRule="atLeast"/>
        <w:jc w:val="both"/>
        <w:rPr>
          <w:rFonts w:eastAsia="Times New Roman" w:cs="Arial"/>
          <w:color w:val="333333"/>
          <w:sz w:val="28"/>
          <w:szCs w:val="28"/>
          <w:lang w:eastAsia="fr-FR"/>
        </w:rPr>
      </w:pPr>
    </w:p>
    <w:p w:rsidR="007C1E7B" w:rsidRPr="00B0500D" w:rsidRDefault="00613754" w:rsidP="00B0500D">
      <w:pPr>
        <w:pStyle w:val="Titre1"/>
        <w:numPr>
          <w:ilvl w:val="0"/>
          <w:numId w:val="1"/>
        </w:numPr>
        <w:rPr>
          <w:rFonts w:asciiTheme="minorHAnsi" w:hAnsiTheme="minorHAnsi" w:cs="Arial"/>
          <w:sz w:val="28"/>
          <w:szCs w:val="28"/>
        </w:rPr>
      </w:pPr>
      <w:r>
        <w:rPr>
          <w:rFonts w:asciiTheme="minorHAnsi" w:hAnsiTheme="minorHAnsi" w:cs="Arial"/>
          <w:sz w:val="28"/>
          <w:szCs w:val="28"/>
        </w:rPr>
        <w:lastRenderedPageBreak/>
        <w:t xml:space="preserve"> </w:t>
      </w:r>
      <w:r w:rsidR="007C1E7B" w:rsidRPr="00B0500D">
        <w:rPr>
          <w:rFonts w:asciiTheme="minorHAnsi" w:hAnsiTheme="minorHAnsi" w:cs="Arial"/>
          <w:sz w:val="28"/>
          <w:szCs w:val="28"/>
        </w:rPr>
        <w:t>Quelles sont les relations entre Vaincre la Mucoviscidose et le laboratoire Vertex Pharmaceuticals ?</w:t>
      </w:r>
    </w:p>
    <w:p w:rsidR="007C1E7B" w:rsidRDefault="007C1E7B" w:rsidP="00B0500D">
      <w:pPr>
        <w:pStyle w:val="Corpsdetexte"/>
        <w:jc w:val="both"/>
        <w:rPr>
          <w:sz w:val="28"/>
        </w:rPr>
      </w:pPr>
      <w:r w:rsidRPr="003340D7">
        <w:rPr>
          <w:sz w:val="28"/>
        </w:rPr>
        <w:t xml:space="preserve">Vaincre la Mucoviscidose intervient dans l’intérêt des patients et dans le respect des contextes réglementaires. </w:t>
      </w:r>
    </w:p>
    <w:p w:rsidR="00E5031D" w:rsidRPr="00FE29BA" w:rsidRDefault="007C1E7B" w:rsidP="00FE29BA">
      <w:pPr>
        <w:spacing w:after="160" w:line="259" w:lineRule="auto"/>
        <w:jc w:val="both"/>
        <w:rPr>
          <w:sz w:val="28"/>
          <w:szCs w:val="28"/>
        </w:rPr>
      </w:pPr>
      <w:r w:rsidRPr="00FE29BA">
        <w:rPr>
          <w:sz w:val="28"/>
        </w:rPr>
        <w:t xml:space="preserve">Pour que les patients puissent recevoir un traitement le plus rapidement possible, </w:t>
      </w:r>
      <w:r w:rsidR="006101FC" w:rsidRPr="00FE29BA">
        <w:rPr>
          <w:sz w:val="28"/>
        </w:rPr>
        <w:t>d</w:t>
      </w:r>
      <w:r w:rsidRPr="00FE29BA">
        <w:rPr>
          <w:sz w:val="28"/>
        </w:rPr>
        <w:t xml:space="preserve">es rencontres régulières ont lieu </w:t>
      </w:r>
      <w:r w:rsidR="006101FC" w:rsidRPr="00FE29BA">
        <w:rPr>
          <w:sz w:val="28"/>
        </w:rPr>
        <w:t xml:space="preserve">entre des représentants de l’association et ceux du laboratoire Vertex Pharmaceuticals </w:t>
      </w:r>
      <w:r w:rsidRPr="00FE29BA">
        <w:rPr>
          <w:sz w:val="28"/>
        </w:rPr>
        <w:t xml:space="preserve">pour faire le point sur les questions des patients et des familles, l’avancée des essais cliniques en cours et les prochains essais à </w:t>
      </w:r>
      <w:r w:rsidRPr="00FE29BA">
        <w:rPr>
          <w:sz w:val="28"/>
          <w:szCs w:val="28"/>
        </w:rPr>
        <w:t>venir</w:t>
      </w:r>
      <w:r w:rsidR="006101FC" w:rsidRPr="00FE29BA">
        <w:rPr>
          <w:sz w:val="28"/>
          <w:szCs w:val="28"/>
        </w:rPr>
        <w:t>, ou encore l’avancée des procédures d’ATU ou d’AMM</w:t>
      </w:r>
      <w:r w:rsidRPr="00FE29BA">
        <w:rPr>
          <w:sz w:val="28"/>
          <w:szCs w:val="28"/>
        </w:rPr>
        <w:t>.</w:t>
      </w:r>
      <w:r w:rsidR="00E5031D" w:rsidRPr="00FE29BA">
        <w:rPr>
          <w:b/>
          <w:sz w:val="28"/>
          <w:szCs w:val="28"/>
        </w:rPr>
        <w:t xml:space="preserve"> </w:t>
      </w:r>
      <w:r w:rsidR="00E5031D" w:rsidRPr="00FE29BA">
        <w:rPr>
          <w:sz w:val="28"/>
          <w:szCs w:val="28"/>
        </w:rPr>
        <w:t xml:space="preserve">Le Registre </w:t>
      </w:r>
      <w:r w:rsidR="0040777A" w:rsidRPr="00FE29BA">
        <w:rPr>
          <w:sz w:val="28"/>
          <w:szCs w:val="28"/>
        </w:rPr>
        <w:t>français</w:t>
      </w:r>
      <w:r w:rsidR="00E5031D" w:rsidRPr="00FE29BA">
        <w:rPr>
          <w:sz w:val="28"/>
          <w:szCs w:val="28"/>
        </w:rPr>
        <w:t xml:space="preserve"> de la Mucoviscidose, créé, exploité et financé par Vaincre la Mucoviscidose, outre les données épidémiologiques mises à disposition des </w:t>
      </w:r>
      <w:r w:rsidR="00A001D7" w:rsidRPr="00FE29BA">
        <w:rPr>
          <w:sz w:val="28"/>
          <w:szCs w:val="28"/>
        </w:rPr>
        <w:t xml:space="preserve">médecins et des chercheurs, </w:t>
      </w:r>
      <w:r w:rsidR="00E5031D" w:rsidRPr="00FE29BA">
        <w:rPr>
          <w:sz w:val="28"/>
          <w:szCs w:val="28"/>
        </w:rPr>
        <w:t xml:space="preserve">permet de dénombrer très précisément les patients concernés par  un nouveau médicament (telles les molécules </w:t>
      </w:r>
      <w:proofErr w:type="spellStart"/>
      <w:r w:rsidR="00E5031D" w:rsidRPr="00FE29BA">
        <w:rPr>
          <w:sz w:val="28"/>
          <w:szCs w:val="28"/>
        </w:rPr>
        <w:t>ivacaftor</w:t>
      </w:r>
      <w:proofErr w:type="spellEnd"/>
      <w:r w:rsidR="00E5031D" w:rsidRPr="00FE29BA">
        <w:rPr>
          <w:sz w:val="28"/>
          <w:szCs w:val="28"/>
        </w:rPr>
        <w:t xml:space="preserve"> ou l’association </w:t>
      </w:r>
      <w:proofErr w:type="spellStart"/>
      <w:r w:rsidR="00E5031D" w:rsidRPr="00FE29BA">
        <w:rPr>
          <w:sz w:val="28"/>
          <w:szCs w:val="28"/>
        </w:rPr>
        <w:t>ivacaftor</w:t>
      </w:r>
      <w:proofErr w:type="spellEnd"/>
      <w:r w:rsidR="00E5031D" w:rsidRPr="00FE29BA">
        <w:rPr>
          <w:sz w:val="28"/>
          <w:szCs w:val="28"/>
        </w:rPr>
        <w:t>/</w:t>
      </w:r>
      <w:proofErr w:type="spellStart"/>
      <w:r w:rsidR="00E5031D" w:rsidRPr="00FE29BA">
        <w:rPr>
          <w:sz w:val="28"/>
          <w:szCs w:val="28"/>
        </w:rPr>
        <w:t>lumacaftor</w:t>
      </w:r>
      <w:proofErr w:type="spellEnd"/>
      <w:r w:rsidR="00E5031D" w:rsidRPr="00FE29BA">
        <w:rPr>
          <w:sz w:val="28"/>
          <w:szCs w:val="28"/>
        </w:rPr>
        <w:t>)</w:t>
      </w:r>
      <w:r w:rsidR="00441A33" w:rsidRPr="00FE29BA">
        <w:rPr>
          <w:sz w:val="28"/>
          <w:szCs w:val="28"/>
        </w:rPr>
        <w:t xml:space="preserve">, et de </w:t>
      </w:r>
      <w:r w:rsidR="00E5031D" w:rsidRPr="00FE29BA">
        <w:rPr>
          <w:sz w:val="28"/>
          <w:szCs w:val="28"/>
        </w:rPr>
        <w:t>constituer plus facilement et plus rapidement les cohortes  indispensables aux essais cliniques. Les données du Registre permettent aussi de fournir des informations nécessaires aux dossiers à constituer pour satisfaire aux exigences règlementaires (ATU, AMM)</w:t>
      </w:r>
      <w:r w:rsidR="009A5DCB">
        <w:rPr>
          <w:sz w:val="28"/>
          <w:szCs w:val="28"/>
        </w:rPr>
        <w:t>,</w:t>
      </w:r>
      <w:r w:rsidR="00E5031D" w:rsidRPr="00FE29BA">
        <w:rPr>
          <w:sz w:val="28"/>
          <w:szCs w:val="28"/>
        </w:rPr>
        <w:t xml:space="preserve"> ce qui permet aux malades de bénéficier au plus vite de ces nouveaux traitements.</w:t>
      </w:r>
    </w:p>
    <w:p w:rsidR="00E5031D" w:rsidRPr="00FE29BA" w:rsidRDefault="00E5031D" w:rsidP="00FE29BA">
      <w:pPr>
        <w:spacing w:after="160" w:line="259" w:lineRule="auto"/>
        <w:jc w:val="both"/>
        <w:rPr>
          <w:sz w:val="28"/>
          <w:szCs w:val="28"/>
        </w:rPr>
      </w:pPr>
      <w:r w:rsidRPr="00FE29BA">
        <w:rPr>
          <w:sz w:val="28"/>
          <w:szCs w:val="28"/>
        </w:rPr>
        <w:t>C’est encore le Registre qui permet la mise en place d’études observationnelles post-AMM dans le but de contribuer à une meilleure connaissance des effets du médicament « en vraie vie » sur le moyen et long terme.</w:t>
      </w:r>
    </w:p>
    <w:p w:rsidR="00CD053E" w:rsidRPr="005F01F1" w:rsidRDefault="007C1E7B" w:rsidP="00B0500D">
      <w:pPr>
        <w:pStyle w:val="Corpsdetexte"/>
        <w:jc w:val="both"/>
      </w:pPr>
      <w:r w:rsidRPr="003340D7">
        <w:rPr>
          <w:sz w:val="28"/>
        </w:rPr>
        <w:t>Vertex Pharmaceuticals, comme d’autres laboratoires, apporte par ailleurs son soutien à plusieurs des manifestations organisées par l’association (Journées francophones de la mucoviscidose, colloque des jeunes chercheurs, Virades de l’espoir)</w:t>
      </w:r>
      <w:r w:rsidR="00AC09EA">
        <w:rPr>
          <w:sz w:val="28"/>
        </w:rPr>
        <w:t xml:space="preserve"> et à des groupes de travail</w:t>
      </w:r>
      <w:r w:rsidRPr="003340D7">
        <w:rPr>
          <w:sz w:val="28"/>
        </w:rPr>
        <w:t>.</w:t>
      </w:r>
    </w:p>
    <w:sectPr w:rsidR="00CD053E" w:rsidRPr="005F01F1" w:rsidSect="009A5DCB">
      <w:pgSz w:w="11906" w:h="16838"/>
      <w:pgMar w:top="1247"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13" w:rsidRDefault="001C2B13" w:rsidP="00143E22">
      <w:r>
        <w:separator/>
      </w:r>
    </w:p>
  </w:endnote>
  <w:endnote w:type="continuationSeparator" w:id="0">
    <w:p w:rsidR="001C2B13" w:rsidRDefault="001C2B13" w:rsidP="0014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n-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13" w:rsidRDefault="001C2B13" w:rsidP="00143E22">
      <w:r>
        <w:separator/>
      </w:r>
    </w:p>
  </w:footnote>
  <w:footnote w:type="continuationSeparator" w:id="0">
    <w:p w:rsidR="001C2B13" w:rsidRDefault="001C2B13" w:rsidP="00143E22">
      <w:r>
        <w:continuationSeparator/>
      </w:r>
    </w:p>
  </w:footnote>
  <w:footnote w:id="1">
    <w:p w:rsidR="00E96DFF" w:rsidRDefault="00E96DFF" w:rsidP="00E96DFF">
      <w:pPr>
        <w:rPr>
          <w:rFonts w:ascii="Verdana" w:hAnsi="Verdana"/>
          <w:color w:val="262626"/>
          <w:sz w:val="18"/>
          <w:szCs w:val="18"/>
        </w:rPr>
      </w:pPr>
      <w:r>
        <w:rPr>
          <w:rStyle w:val="Appelnotedebasdep"/>
        </w:rPr>
        <w:footnoteRef/>
      </w:r>
      <w:r w:rsidRPr="0009629A">
        <w:t xml:space="preserve"> </w:t>
      </w:r>
      <w:r>
        <w:t>Mutation « </w:t>
      </w:r>
      <w:proofErr w:type="spellStart"/>
      <w:r>
        <w:t>gating</w:t>
      </w:r>
      <w:proofErr w:type="spellEnd"/>
      <w:r>
        <w:t xml:space="preserve"> » : </w:t>
      </w:r>
      <w:r>
        <w:rPr>
          <w:rFonts w:ascii="Verdana" w:hAnsi="Verdana"/>
          <w:color w:val="262626"/>
          <w:sz w:val="18"/>
          <w:szCs w:val="18"/>
        </w:rPr>
        <w:t>la protéine CFTR mutée rejoint la membrane en quantité normale, mais sa fonction est altérée. L’ouverture du canal ne se fait pas.</w:t>
      </w:r>
    </w:p>
    <w:p w:rsidR="00E96DFF" w:rsidRDefault="00E96DFF" w:rsidP="00E96DFF">
      <w:pPr>
        <w:pStyle w:val="Notedebasdepage"/>
      </w:pPr>
    </w:p>
  </w:footnote>
  <w:footnote w:id="2">
    <w:p w:rsidR="00D538CA" w:rsidRDefault="00143E22" w:rsidP="00D538CA">
      <w:pPr>
        <w:rPr>
          <w:rFonts w:ascii="Verdana" w:hAnsi="Verdana"/>
          <w:color w:val="262626"/>
          <w:sz w:val="18"/>
          <w:szCs w:val="18"/>
        </w:rPr>
      </w:pPr>
      <w:r>
        <w:rPr>
          <w:rStyle w:val="Appelnotedebasdep"/>
        </w:rPr>
        <w:footnoteRef/>
      </w:r>
      <w:r w:rsidR="00255418" w:rsidRPr="0009629A">
        <w:t xml:space="preserve"> </w:t>
      </w:r>
      <w:r w:rsidR="00CF6E04" w:rsidRPr="0009629A">
        <w:t>G1244E, G1349D, G178R, G551S,</w:t>
      </w:r>
      <w:r w:rsidR="00762CD9" w:rsidRPr="0009629A">
        <w:t xml:space="preserve"> S1251N, S1255P, S549N ou S549R. </w:t>
      </w:r>
    </w:p>
    <w:p w:rsidR="00143E22" w:rsidRDefault="00143E22">
      <w:pPr>
        <w:pStyle w:val="Notedebasdepage"/>
      </w:pPr>
    </w:p>
  </w:footnote>
  <w:footnote w:id="3">
    <w:p w:rsidR="00143E22" w:rsidRPr="00850BD4" w:rsidRDefault="00143E22">
      <w:pPr>
        <w:pStyle w:val="Notedebasdepage"/>
      </w:pPr>
      <w:r>
        <w:rPr>
          <w:rStyle w:val="Appelnotedebasdep"/>
        </w:rPr>
        <w:footnoteRef/>
      </w:r>
      <w:r>
        <w:t xml:space="preserve"> </w:t>
      </w:r>
      <w:r w:rsidR="00850BD4">
        <w:t>U</w:t>
      </w:r>
      <w:r w:rsidR="00850BD4" w:rsidRPr="00850BD4">
        <w:t xml:space="preserve">n placebo se présente sous la </w:t>
      </w:r>
      <w:r w:rsidR="00850BD4">
        <w:t xml:space="preserve">même </w:t>
      </w:r>
      <w:r w:rsidR="00850BD4" w:rsidRPr="00850BD4">
        <w:t xml:space="preserve">forme </w:t>
      </w:r>
      <w:r w:rsidR="00850BD4">
        <w:t>que la molécule testée, mais ne contient pas de principe actif</w:t>
      </w:r>
      <w:r w:rsidR="00570278">
        <w:t>.</w:t>
      </w:r>
      <w:r w:rsidR="00850BD4" w:rsidRPr="00850BD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E06F7E"/>
    <w:multiLevelType w:val="hybridMultilevel"/>
    <w:tmpl w:val="FAC4E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C14C6"/>
    <w:multiLevelType w:val="hybridMultilevel"/>
    <w:tmpl w:val="37DC4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FF1243"/>
    <w:multiLevelType w:val="hybridMultilevel"/>
    <w:tmpl w:val="DC08C3CE"/>
    <w:lvl w:ilvl="0" w:tplc="FBC679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7676F"/>
    <w:multiLevelType w:val="hybridMultilevel"/>
    <w:tmpl w:val="A3A47D44"/>
    <w:lvl w:ilvl="0" w:tplc="040C000F">
      <w:start w:val="1"/>
      <w:numFmt w:val="decimal"/>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8E7514"/>
    <w:multiLevelType w:val="hybridMultilevel"/>
    <w:tmpl w:val="4F3AF0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4B5AC5"/>
    <w:multiLevelType w:val="hybridMultilevel"/>
    <w:tmpl w:val="04BE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51534F"/>
    <w:multiLevelType w:val="hybridMultilevel"/>
    <w:tmpl w:val="37923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595A61"/>
    <w:multiLevelType w:val="hybridMultilevel"/>
    <w:tmpl w:val="38405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C87D34"/>
    <w:multiLevelType w:val="hybridMultilevel"/>
    <w:tmpl w:val="37923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9128E4"/>
    <w:multiLevelType w:val="hybridMultilevel"/>
    <w:tmpl w:val="47AAD3BA"/>
    <w:lvl w:ilvl="0" w:tplc="7C54130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62090C"/>
    <w:multiLevelType w:val="hybridMultilevel"/>
    <w:tmpl w:val="89DC6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792041"/>
    <w:multiLevelType w:val="hybridMultilevel"/>
    <w:tmpl w:val="37923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7"/>
  </w:num>
  <w:num w:numId="6">
    <w:abstractNumId w:val="3"/>
  </w:num>
  <w:num w:numId="7">
    <w:abstractNumId w:val="10"/>
  </w:num>
  <w:num w:numId="8">
    <w:abstractNumId w:val="12"/>
  </w:num>
  <w:num w:numId="9">
    <w:abstractNumId w:val="0"/>
  </w:num>
  <w:num w:numId="10">
    <w:abstractNumId w:val="11"/>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2A"/>
    <w:rsid w:val="000076B8"/>
    <w:rsid w:val="00010F29"/>
    <w:rsid w:val="000250B4"/>
    <w:rsid w:val="00076145"/>
    <w:rsid w:val="00081518"/>
    <w:rsid w:val="00091BC8"/>
    <w:rsid w:val="0009629A"/>
    <w:rsid w:val="000D1F53"/>
    <w:rsid w:val="001105E5"/>
    <w:rsid w:val="0012069D"/>
    <w:rsid w:val="00122FF3"/>
    <w:rsid w:val="00130EA5"/>
    <w:rsid w:val="00137678"/>
    <w:rsid w:val="00143968"/>
    <w:rsid w:val="00143E22"/>
    <w:rsid w:val="001459F6"/>
    <w:rsid w:val="0015121C"/>
    <w:rsid w:val="00160D19"/>
    <w:rsid w:val="001634F4"/>
    <w:rsid w:val="0019056F"/>
    <w:rsid w:val="001A6339"/>
    <w:rsid w:val="001B0024"/>
    <w:rsid w:val="001B7CB2"/>
    <w:rsid w:val="001C2B13"/>
    <w:rsid w:val="001C554C"/>
    <w:rsid w:val="001E2B51"/>
    <w:rsid w:val="00204129"/>
    <w:rsid w:val="002277E8"/>
    <w:rsid w:val="00255418"/>
    <w:rsid w:val="002628CD"/>
    <w:rsid w:val="00285FEC"/>
    <w:rsid w:val="002B7068"/>
    <w:rsid w:val="002E3165"/>
    <w:rsid w:val="002F4A8C"/>
    <w:rsid w:val="00304DD9"/>
    <w:rsid w:val="003409A4"/>
    <w:rsid w:val="00341D04"/>
    <w:rsid w:val="003557D8"/>
    <w:rsid w:val="003928E7"/>
    <w:rsid w:val="003A480B"/>
    <w:rsid w:val="003D519F"/>
    <w:rsid w:val="0040777A"/>
    <w:rsid w:val="00413E8F"/>
    <w:rsid w:val="00417A11"/>
    <w:rsid w:val="00441A33"/>
    <w:rsid w:val="00454FFF"/>
    <w:rsid w:val="004670E8"/>
    <w:rsid w:val="00483910"/>
    <w:rsid w:val="004B3B77"/>
    <w:rsid w:val="004B5270"/>
    <w:rsid w:val="004B6F2A"/>
    <w:rsid w:val="004D1338"/>
    <w:rsid w:val="004D45A2"/>
    <w:rsid w:val="004D6E16"/>
    <w:rsid w:val="004E01A6"/>
    <w:rsid w:val="004E55F2"/>
    <w:rsid w:val="00514E20"/>
    <w:rsid w:val="00543133"/>
    <w:rsid w:val="00570278"/>
    <w:rsid w:val="005754A2"/>
    <w:rsid w:val="0059715F"/>
    <w:rsid w:val="005B37D3"/>
    <w:rsid w:val="005C339A"/>
    <w:rsid w:val="005D615F"/>
    <w:rsid w:val="005D7CFE"/>
    <w:rsid w:val="005E2F8C"/>
    <w:rsid w:val="005E37A9"/>
    <w:rsid w:val="005F01F1"/>
    <w:rsid w:val="005F6393"/>
    <w:rsid w:val="006101FC"/>
    <w:rsid w:val="00613754"/>
    <w:rsid w:val="0062176D"/>
    <w:rsid w:val="00660CF5"/>
    <w:rsid w:val="00672BDF"/>
    <w:rsid w:val="00683125"/>
    <w:rsid w:val="006A5443"/>
    <w:rsid w:val="006A5801"/>
    <w:rsid w:val="006B4161"/>
    <w:rsid w:val="006C78EF"/>
    <w:rsid w:val="006E1D64"/>
    <w:rsid w:val="006E3F51"/>
    <w:rsid w:val="00721297"/>
    <w:rsid w:val="00727DB1"/>
    <w:rsid w:val="00727E09"/>
    <w:rsid w:val="00740B5C"/>
    <w:rsid w:val="007574B9"/>
    <w:rsid w:val="00762CD9"/>
    <w:rsid w:val="00763290"/>
    <w:rsid w:val="00783A78"/>
    <w:rsid w:val="0079166B"/>
    <w:rsid w:val="007945D5"/>
    <w:rsid w:val="007C1E7B"/>
    <w:rsid w:val="007D1893"/>
    <w:rsid w:val="007E6863"/>
    <w:rsid w:val="0081391A"/>
    <w:rsid w:val="00837781"/>
    <w:rsid w:val="00850BD4"/>
    <w:rsid w:val="0085267D"/>
    <w:rsid w:val="00854080"/>
    <w:rsid w:val="00867485"/>
    <w:rsid w:val="008756B5"/>
    <w:rsid w:val="00886739"/>
    <w:rsid w:val="00887DC5"/>
    <w:rsid w:val="008A2D5B"/>
    <w:rsid w:val="008C0557"/>
    <w:rsid w:val="008C1198"/>
    <w:rsid w:val="008C1513"/>
    <w:rsid w:val="008C15C2"/>
    <w:rsid w:val="008C6C53"/>
    <w:rsid w:val="008D0CC1"/>
    <w:rsid w:val="008D491A"/>
    <w:rsid w:val="008D4A55"/>
    <w:rsid w:val="009633B5"/>
    <w:rsid w:val="009672DF"/>
    <w:rsid w:val="009932C0"/>
    <w:rsid w:val="009A5DCB"/>
    <w:rsid w:val="009B3E1E"/>
    <w:rsid w:val="009C2525"/>
    <w:rsid w:val="00A001D7"/>
    <w:rsid w:val="00A20E7C"/>
    <w:rsid w:val="00A27671"/>
    <w:rsid w:val="00A43CBB"/>
    <w:rsid w:val="00A628E9"/>
    <w:rsid w:val="00A67A09"/>
    <w:rsid w:val="00A71598"/>
    <w:rsid w:val="00A773C1"/>
    <w:rsid w:val="00A92B10"/>
    <w:rsid w:val="00AA50CD"/>
    <w:rsid w:val="00AC09EA"/>
    <w:rsid w:val="00AE6483"/>
    <w:rsid w:val="00AF6BF2"/>
    <w:rsid w:val="00B0500D"/>
    <w:rsid w:val="00B11687"/>
    <w:rsid w:val="00B43917"/>
    <w:rsid w:val="00B5660B"/>
    <w:rsid w:val="00B60020"/>
    <w:rsid w:val="00B70DE4"/>
    <w:rsid w:val="00B9142F"/>
    <w:rsid w:val="00BC7813"/>
    <w:rsid w:val="00BE3ABF"/>
    <w:rsid w:val="00BE7EDC"/>
    <w:rsid w:val="00C50518"/>
    <w:rsid w:val="00C63560"/>
    <w:rsid w:val="00CA2901"/>
    <w:rsid w:val="00CA5310"/>
    <w:rsid w:val="00CC01C7"/>
    <w:rsid w:val="00CC1916"/>
    <w:rsid w:val="00CC70D2"/>
    <w:rsid w:val="00CD053E"/>
    <w:rsid w:val="00CE15AD"/>
    <w:rsid w:val="00CF6E04"/>
    <w:rsid w:val="00D00714"/>
    <w:rsid w:val="00D20EE7"/>
    <w:rsid w:val="00D46DCF"/>
    <w:rsid w:val="00D501CA"/>
    <w:rsid w:val="00D538CA"/>
    <w:rsid w:val="00DF1117"/>
    <w:rsid w:val="00E345A7"/>
    <w:rsid w:val="00E5031D"/>
    <w:rsid w:val="00E60B34"/>
    <w:rsid w:val="00E62991"/>
    <w:rsid w:val="00E95005"/>
    <w:rsid w:val="00E96DFF"/>
    <w:rsid w:val="00EB13C7"/>
    <w:rsid w:val="00EE5D6D"/>
    <w:rsid w:val="00F409D2"/>
    <w:rsid w:val="00F55168"/>
    <w:rsid w:val="00F66C55"/>
    <w:rsid w:val="00F706D9"/>
    <w:rsid w:val="00F832DF"/>
    <w:rsid w:val="00FA3018"/>
    <w:rsid w:val="00FE29BA"/>
    <w:rsid w:val="00FF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2A"/>
    <w:pPr>
      <w:spacing w:after="0" w:line="240" w:lineRule="auto"/>
    </w:pPr>
  </w:style>
  <w:style w:type="paragraph" w:styleId="Titre1">
    <w:name w:val="heading 1"/>
    <w:basedOn w:val="Normal"/>
    <w:link w:val="Titre1Car"/>
    <w:uiPriority w:val="9"/>
    <w:qFormat/>
    <w:rsid w:val="004B6F2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semiHidden/>
    <w:unhideWhenUsed/>
    <w:qFormat/>
    <w:rsid w:val="004B6F2A"/>
    <w:pPr>
      <w:spacing w:before="100" w:beforeAutospacing="1" w:after="100" w:afterAutospacing="1"/>
      <w:outlineLvl w:val="1"/>
    </w:pPr>
    <w:rPr>
      <w:rFonts w:ascii="hn-bold" w:eastAsia="Times New Roman" w:hAnsi="hn-bold"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6F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4B6F2A"/>
    <w:rPr>
      <w:rFonts w:ascii="hn-bold" w:eastAsia="Times New Roman" w:hAnsi="hn-bold" w:cs="Times New Roman"/>
      <w:sz w:val="36"/>
      <w:szCs w:val="36"/>
      <w:lang w:eastAsia="fr-FR"/>
    </w:rPr>
  </w:style>
  <w:style w:type="character" w:styleId="Lienhypertexte">
    <w:name w:val="Hyperlink"/>
    <w:basedOn w:val="Policepardfaut"/>
    <w:uiPriority w:val="99"/>
    <w:unhideWhenUsed/>
    <w:rsid w:val="004B6F2A"/>
    <w:rPr>
      <w:color w:val="0000FF" w:themeColor="hyperlink"/>
      <w:u w:val="single"/>
    </w:rPr>
  </w:style>
  <w:style w:type="paragraph" w:styleId="NormalWeb">
    <w:name w:val="Normal (Web)"/>
    <w:basedOn w:val="Normal"/>
    <w:uiPriority w:val="99"/>
    <w:unhideWhenUsed/>
    <w:rsid w:val="004B6F2A"/>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B7CB2"/>
    <w:pPr>
      <w:ind w:left="720"/>
      <w:contextualSpacing/>
    </w:pPr>
  </w:style>
  <w:style w:type="character" w:styleId="lev">
    <w:name w:val="Strong"/>
    <w:basedOn w:val="Policepardfaut"/>
    <w:uiPriority w:val="22"/>
    <w:qFormat/>
    <w:rsid w:val="001B7CB2"/>
    <w:rPr>
      <w:b/>
      <w:bCs/>
    </w:rPr>
  </w:style>
  <w:style w:type="character" w:styleId="Accentuation">
    <w:name w:val="Emphasis"/>
    <w:basedOn w:val="Policepardfaut"/>
    <w:uiPriority w:val="20"/>
    <w:qFormat/>
    <w:rsid w:val="00727DB1"/>
    <w:rPr>
      <w:i/>
      <w:iCs/>
    </w:rPr>
  </w:style>
  <w:style w:type="paragraph" w:styleId="Textedebulles">
    <w:name w:val="Balloon Text"/>
    <w:basedOn w:val="Normal"/>
    <w:link w:val="TextedebullesCar"/>
    <w:uiPriority w:val="99"/>
    <w:semiHidden/>
    <w:unhideWhenUsed/>
    <w:rsid w:val="002628CD"/>
    <w:rPr>
      <w:rFonts w:ascii="Tahoma" w:hAnsi="Tahoma" w:cs="Tahoma"/>
      <w:sz w:val="16"/>
      <w:szCs w:val="16"/>
    </w:rPr>
  </w:style>
  <w:style w:type="character" w:customStyle="1" w:styleId="TextedebullesCar">
    <w:name w:val="Texte de bulles Car"/>
    <w:basedOn w:val="Policepardfaut"/>
    <w:link w:val="Textedebulles"/>
    <w:uiPriority w:val="99"/>
    <w:semiHidden/>
    <w:rsid w:val="002628CD"/>
    <w:rPr>
      <w:rFonts w:ascii="Tahoma" w:hAnsi="Tahoma" w:cs="Tahoma"/>
      <w:sz w:val="16"/>
      <w:szCs w:val="16"/>
    </w:rPr>
  </w:style>
  <w:style w:type="character" w:styleId="Marquedecommentaire">
    <w:name w:val="annotation reference"/>
    <w:basedOn w:val="Policepardfaut"/>
    <w:uiPriority w:val="99"/>
    <w:semiHidden/>
    <w:unhideWhenUsed/>
    <w:rsid w:val="002628CD"/>
    <w:rPr>
      <w:sz w:val="16"/>
      <w:szCs w:val="16"/>
    </w:rPr>
  </w:style>
  <w:style w:type="paragraph" w:styleId="Commentaire">
    <w:name w:val="annotation text"/>
    <w:basedOn w:val="Normal"/>
    <w:link w:val="CommentaireCar"/>
    <w:uiPriority w:val="99"/>
    <w:semiHidden/>
    <w:unhideWhenUsed/>
    <w:rsid w:val="002628CD"/>
    <w:rPr>
      <w:sz w:val="20"/>
      <w:szCs w:val="20"/>
    </w:rPr>
  </w:style>
  <w:style w:type="character" w:customStyle="1" w:styleId="CommentaireCar">
    <w:name w:val="Commentaire Car"/>
    <w:basedOn w:val="Policepardfaut"/>
    <w:link w:val="Commentaire"/>
    <w:uiPriority w:val="99"/>
    <w:semiHidden/>
    <w:rsid w:val="002628CD"/>
    <w:rPr>
      <w:sz w:val="20"/>
      <w:szCs w:val="20"/>
    </w:rPr>
  </w:style>
  <w:style w:type="paragraph" w:styleId="Objetducommentaire">
    <w:name w:val="annotation subject"/>
    <w:basedOn w:val="Commentaire"/>
    <w:next w:val="Commentaire"/>
    <w:link w:val="ObjetducommentaireCar"/>
    <w:uiPriority w:val="99"/>
    <w:semiHidden/>
    <w:unhideWhenUsed/>
    <w:rsid w:val="002628CD"/>
    <w:rPr>
      <w:b/>
      <w:bCs/>
    </w:rPr>
  </w:style>
  <w:style w:type="character" w:customStyle="1" w:styleId="ObjetducommentaireCar">
    <w:name w:val="Objet du commentaire Car"/>
    <w:basedOn w:val="CommentaireCar"/>
    <w:link w:val="Objetducommentaire"/>
    <w:uiPriority w:val="99"/>
    <w:semiHidden/>
    <w:rsid w:val="002628CD"/>
    <w:rPr>
      <w:b/>
      <w:bCs/>
      <w:sz w:val="20"/>
      <w:szCs w:val="20"/>
    </w:rPr>
  </w:style>
  <w:style w:type="paragraph" w:styleId="Corpsdetexte">
    <w:name w:val="Body Text"/>
    <w:basedOn w:val="Normal"/>
    <w:link w:val="CorpsdetexteCar"/>
    <w:rsid w:val="007C1E7B"/>
    <w:pPr>
      <w:suppressAutoHyphens/>
      <w:spacing w:after="120" w:line="100" w:lineRule="atLeast"/>
    </w:pPr>
    <w:rPr>
      <w:rFonts w:ascii="Calibri" w:eastAsia="SimSun" w:hAnsi="Calibri" w:cs="Calibri"/>
      <w:kern w:val="1"/>
      <w:lang w:eastAsia="ar-SA"/>
    </w:rPr>
  </w:style>
  <w:style w:type="character" w:customStyle="1" w:styleId="CorpsdetexteCar">
    <w:name w:val="Corps de texte Car"/>
    <w:basedOn w:val="Policepardfaut"/>
    <w:link w:val="Corpsdetexte"/>
    <w:rsid w:val="007C1E7B"/>
    <w:rPr>
      <w:rFonts w:ascii="Calibri" w:eastAsia="SimSun" w:hAnsi="Calibri" w:cs="Calibri"/>
      <w:kern w:val="1"/>
      <w:lang w:eastAsia="ar-SA"/>
    </w:rPr>
  </w:style>
  <w:style w:type="paragraph" w:styleId="Notedebasdepage">
    <w:name w:val="footnote text"/>
    <w:basedOn w:val="Normal"/>
    <w:link w:val="NotedebasdepageCar"/>
    <w:uiPriority w:val="99"/>
    <w:semiHidden/>
    <w:unhideWhenUsed/>
    <w:rsid w:val="00143E22"/>
    <w:rPr>
      <w:sz w:val="20"/>
      <w:szCs w:val="20"/>
    </w:rPr>
  </w:style>
  <w:style w:type="character" w:customStyle="1" w:styleId="NotedebasdepageCar">
    <w:name w:val="Note de bas de page Car"/>
    <w:basedOn w:val="Policepardfaut"/>
    <w:link w:val="Notedebasdepage"/>
    <w:uiPriority w:val="99"/>
    <w:semiHidden/>
    <w:rsid w:val="00143E22"/>
    <w:rPr>
      <w:sz w:val="20"/>
      <w:szCs w:val="20"/>
    </w:rPr>
  </w:style>
  <w:style w:type="character" w:styleId="Appelnotedebasdep">
    <w:name w:val="footnote reference"/>
    <w:basedOn w:val="Policepardfaut"/>
    <w:uiPriority w:val="99"/>
    <w:semiHidden/>
    <w:unhideWhenUsed/>
    <w:rsid w:val="00143E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2A"/>
    <w:pPr>
      <w:spacing w:after="0" w:line="240" w:lineRule="auto"/>
    </w:pPr>
  </w:style>
  <w:style w:type="paragraph" w:styleId="Titre1">
    <w:name w:val="heading 1"/>
    <w:basedOn w:val="Normal"/>
    <w:link w:val="Titre1Car"/>
    <w:uiPriority w:val="9"/>
    <w:qFormat/>
    <w:rsid w:val="004B6F2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semiHidden/>
    <w:unhideWhenUsed/>
    <w:qFormat/>
    <w:rsid w:val="004B6F2A"/>
    <w:pPr>
      <w:spacing w:before="100" w:beforeAutospacing="1" w:after="100" w:afterAutospacing="1"/>
      <w:outlineLvl w:val="1"/>
    </w:pPr>
    <w:rPr>
      <w:rFonts w:ascii="hn-bold" w:eastAsia="Times New Roman" w:hAnsi="hn-bold"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6F2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4B6F2A"/>
    <w:rPr>
      <w:rFonts w:ascii="hn-bold" w:eastAsia="Times New Roman" w:hAnsi="hn-bold" w:cs="Times New Roman"/>
      <w:sz w:val="36"/>
      <w:szCs w:val="36"/>
      <w:lang w:eastAsia="fr-FR"/>
    </w:rPr>
  </w:style>
  <w:style w:type="character" w:styleId="Lienhypertexte">
    <w:name w:val="Hyperlink"/>
    <w:basedOn w:val="Policepardfaut"/>
    <w:uiPriority w:val="99"/>
    <w:unhideWhenUsed/>
    <w:rsid w:val="004B6F2A"/>
    <w:rPr>
      <w:color w:val="0000FF" w:themeColor="hyperlink"/>
      <w:u w:val="single"/>
    </w:rPr>
  </w:style>
  <w:style w:type="paragraph" w:styleId="NormalWeb">
    <w:name w:val="Normal (Web)"/>
    <w:basedOn w:val="Normal"/>
    <w:uiPriority w:val="99"/>
    <w:unhideWhenUsed/>
    <w:rsid w:val="004B6F2A"/>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B7CB2"/>
    <w:pPr>
      <w:ind w:left="720"/>
      <w:contextualSpacing/>
    </w:pPr>
  </w:style>
  <w:style w:type="character" w:styleId="lev">
    <w:name w:val="Strong"/>
    <w:basedOn w:val="Policepardfaut"/>
    <w:uiPriority w:val="22"/>
    <w:qFormat/>
    <w:rsid w:val="001B7CB2"/>
    <w:rPr>
      <w:b/>
      <w:bCs/>
    </w:rPr>
  </w:style>
  <w:style w:type="character" w:styleId="Accentuation">
    <w:name w:val="Emphasis"/>
    <w:basedOn w:val="Policepardfaut"/>
    <w:uiPriority w:val="20"/>
    <w:qFormat/>
    <w:rsid w:val="00727DB1"/>
    <w:rPr>
      <w:i/>
      <w:iCs/>
    </w:rPr>
  </w:style>
  <w:style w:type="paragraph" w:styleId="Textedebulles">
    <w:name w:val="Balloon Text"/>
    <w:basedOn w:val="Normal"/>
    <w:link w:val="TextedebullesCar"/>
    <w:uiPriority w:val="99"/>
    <w:semiHidden/>
    <w:unhideWhenUsed/>
    <w:rsid w:val="002628CD"/>
    <w:rPr>
      <w:rFonts w:ascii="Tahoma" w:hAnsi="Tahoma" w:cs="Tahoma"/>
      <w:sz w:val="16"/>
      <w:szCs w:val="16"/>
    </w:rPr>
  </w:style>
  <w:style w:type="character" w:customStyle="1" w:styleId="TextedebullesCar">
    <w:name w:val="Texte de bulles Car"/>
    <w:basedOn w:val="Policepardfaut"/>
    <w:link w:val="Textedebulles"/>
    <w:uiPriority w:val="99"/>
    <w:semiHidden/>
    <w:rsid w:val="002628CD"/>
    <w:rPr>
      <w:rFonts w:ascii="Tahoma" w:hAnsi="Tahoma" w:cs="Tahoma"/>
      <w:sz w:val="16"/>
      <w:szCs w:val="16"/>
    </w:rPr>
  </w:style>
  <w:style w:type="character" w:styleId="Marquedecommentaire">
    <w:name w:val="annotation reference"/>
    <w:basedOn w:val="Policepardfaut"/>
    <w:uiPriority w:val="99"/>
    <w:semiHidden/>
    <w:unhideWhenUsed/>
    <w:rsid w:val="002628CD"/>
    <w:rPr>
      <w:sz w:val="16"/>
      <w:szCs w:val="16"/>
    </w:rPr>
  </w:style>
  <w:style w:type="paragraph" w:styleId="Commentaire">
    <w:name w:val="annotation text"/>
    <w:basedOn w:val="Normal"/>
    <w:link w:val="CommentaireCar"/>
    <w:uiPriority w:val="99"/>
    <w:semiHidden/>
    <w:unhideWhenUsed/>
    <w:rsid w:val="002628CD"/>
    <w:rPr>
      <w:sz w:val="20"/>
      <w:szCs w:val="20"/>
    </w:rPr>
  </w:style>
  <w:style w:type="character" w:customStyle="1" w:styleId="CommentaireCar">
    <w:name w:val="Commentaire Car"/>
    <w:basedOn w:val="Policepardfaut"/>
    <w:link w:val="Commentaire"/>
    <w:uiPriority w:val="99"/>
    <w:semiHidden/>
    <w:rsid w:val="002628CD"/>
    <w:rPr>
      <w:sz w:val="20"/>
      <w:szCs w:val="20"/>
    </w:rPr>
  </w:style>
  <w:style w:type="paragraph" w:styleId="Objetducommentaire">
    <w:name w:val="annotation subject"/>
    <w:basedOn w:val="Commentaire"/>
    <w:next w:val="Commentaire"/>
    <w:link w:val="ObjetducommentaireCar"/>
    <w:uiPriority w:val="99"/>
    <w:semiHidden/>
    <w:unhideWhenUsed/>
    <w:rsid w:val="002628CD"/>
    <w:rPr>
      <w:b/>
      <w:bCs/>
    </w:rPr>
  </w:style>
  <w:style w:type="character" w:customStyle="1" w:styleId="ObjetducommentaireCar">
    <w:name w:val="Objet du commentaire Car"/>
    <w:basedOn w:val="CommentaireCar"/>
    <w:link w:val="Objetducommentaire"/>
    <w:uiPriority w:val="99"/>
    <w:semiHidden/>
    <w:rsid w:val="002628CD"/>
    <w:rPr>
      <w:b/>
      <w:bCs/>
      <w:sz w:val="20"/>
      <w:szCs w:val="20"/>
    </w:rPr>
  </w:style>
  <w:style w:type="paragraph" w:styleId="Corpsdetexte">
    <w:name w:val="Body Text"/>
    <w:basedOn w:val="Normal"/>
    <w:link w:val="CorpsdetexteCar"/>
    <w:rsid w:val="007C1E7B"/>
    <w:pPr>
      <w:suppressAutoHyphens/>
      <w:spacing w:after="120" w:line="100" w:lineRule="atLeast"/>
    </w:pPr>
    <w:rPr>
      <w:rFonts w:ascii="Calibri" w:eastAsia="SimSun" w:hAnsi="Calibri" w:cs="Calibri"/>
      <w:kern w:val="1"/>
      <w:lang w:eastAsia="ar-SA"/>
    </w:rPr>
  </w:style>
  <w:style w:type="character" w:customStyle="1" w:styleId="CorpsdetexteCar">
    <w:name w:val="Corps de texte Car"/>
    <w:basedOn w:val="Policepardfaut"/>
    <w:link w:val="Corpsdetexte"/>
    <w:rsid w:val="007C1E7B"/>
    <w:rPr>
      <w:rFonts w:ascii="Calibri" w:eastAsia="SimSun" w:hAnsi="Calibri" w:cs="Calibri"/>
      <w:kern w:val="1"/>
      <w:lang w:eastAsia="ar-SA"/>
    </w:rPr>
  </w:style>
  <w:style w:type="paragraph" w:styleId="Notedebasdepage">
    <w:name w:val="footnote text"/>
    <w:basedOn w:val="Normal"/>
    <w:link w:val="NotedebasdepageCar"/>
    <w:uiPriority w:val="99"/>
    <w:semiHidden/>
    <w:unhideWhenUsed/>
    <w:rsid w:val="00143E22"/>
    <w:rPr>
      <w:sz w:val="20"/>
      <w:szCs w:val="20"/>
    </w:rPr>
  </w:style>
  <w:style w:type="character" w:customStyle="1" w:styleId="NotedebasdepageCar">
    <w:name w:val="Note de bas de page Car"/>
    <w:basedOn w:val="Policepardfaut"/>
    <w:link w:val="Notedebasdepage"/>
    <w:uiPriority w:val="99"/>
    <w:semiHidden/>
    <w:rsid w:val="00143E22"/>
    <w:rPr>
      <w:sz w:val="20"/>
      <w:szCs w:val="20"/>
    </w:rPr>
  </w:style>
  <w:style w:type="character" w:styleId="Appelnotedebasdep">
    <w:name w:val="footnote reference"/>
    <w:basedOn w:val="Policepardfaut"/>
    <w:uiPriority w:val="99"/>
    <w:semiHidden/>
    <w:unhideWhenUsed/>
    <w:rsid w:val="00143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8664">
      <w:bodyDiv w:val="1"/>
      <w:marLeft w:val="0"/>
      <w:marRight w:val="0"/>
      <w:marTop w:val="0"/>
      <w:marBottom w:val="0"/>
      <w:divBdr>
        <w:top w:val="none" w:sz="0" w:space="0" w:color="auto"/>
        <w:left w:val="none" w:sz="0" w:space="0" w:color="auto"/>
        <w:bottom w:val="none" w:sz="0" w:space="0" w:color="auto"/>
        <w:right w:val="none" w:sz="0" w:space="0" w:color="auto"/>
      </w:divBdr>
      <w:divsChild>
        <w:div w:id="322003018">
          <w:marLeft w:val="0"/>
          <w:marRight w:val="0"/>
          <w:marTop w:val="0"/>
          <w:marBottom w:val="0"/>
          <w:divBdr>
            <w:top w:val="none" w:sz="0" w:space="0" w:color="auto"/>
            <w:left w:val="none" w:sz="0" w:space="0" w:color="auto"/>
            <w:bottom w:val="none" w:sz="0" w:space="0" w:color="auto"/>
            <w:right w:val="none" w:sz="0" w:space="0" w:color="auto"/>
          </w:divBdr>
          <w:divsChild>
            <w:div w:id="1546718776">
              <w:marLeft w:val="0"/>
              <w:marRight w:val="0"/>
              <w:marTop w:val="0"/>
              <w:marBottom w:val="0"/>
              <w:divBdr>
                <w:top w:val="none" w:sz="0" w:space="0" w:color="auto"/>
                <w:left w:val="none" w:sz="0" w:space="0" w:color="auto"/>
                <w:bottom w:val="none" w:sz="0" w:space="0" w:color="auto"/>
                <w:right w:val="none" w:sz="0" w:space="0" w:color="auto"/>
              </w:divBdr>
              <w:divsChild>
                <w:div w:id="1054238636">
                  <w:marLeft w:val="0"/>
                  <w:marRight w:val="0"/>
                  <w:marTop w:val="0"/>
                  <w:marBottom w:val="0"/>
                  <w:divBdr>
                    <w:top w:val="none" w:sz="0" w:space="0" w:color="auto"/>
                    <w:left w:val="none" w:sz="0" w:space="0" w:color="auto"/>
                    <w:bottom w:val="none" w:sz="0" w:space="0" w:color="auto"/>
                    <w:right w:val="none" w:sz="0" w:space="0" w:color="auto"/>
                  </w:divBdr>
                  <w:divsChild>
                    <w:div w:id="1243176761">
                      <w:marLeft w:val="0"/>
                      <w:marRight w:val="0"/>
                      <w:marTop w:val="0"/>
                      <w:marBottom w:val="0"/>
                      <w:divBdr>
                        <w:top w:val="none" w:sz="0" w:space="0" w:color="auto"/>
                        <w:left w:val="none" w:sz="0" w:space="0" w:color="auto"/>
                        <w:bottom w:val="none" w:sz="0" w:space="0" w:color="auto"/>
                        <w:right w:val="none" w:sz="0" w:space="0" w:color="auto"/>
                      </w:divBdr>
                      <w:divsChild>
                        <w:div w:id="1417676068">
                          <w:marLeft w:val="0"/>
                          <w:marRight w:val="0"/>
                          <w:marTop w:val="0"/>
                          <w:marBottom w:val="0"/>
                          <w:divBdr>
                            <w:top w:val="none" w:sz="0" w:space="0" w:color="auto"/>
                            <w:left w:val="none" w:sz="0" w:space="0" w:color="auto"/>
                            <w:bottom w:val="none" w:sz="0" w:space="0" w:color="auto"/>
                            <w:right w:val="none" w:sz="0" w:space="0" w:color="auto"/>
                          </w:divBdr>
                          <w:divsChild>
                            <w:div w:id="681666749">
                              <w:marLeft w:val="0"/>
                              <w:marRight w:val="0"/>
                              <w:marTop w:val="0"/>
                              <w:marBottom w:val="0"/>
                              <w:divBdr>
                                <w:top w:val="none" w:sz="0" w:space="0" w:color="auto"/>
                                <w:left w:val="none" w:sz="0" w:space="0" w:color="auto"/>
                                <w:bottom w:val="none" w:sz="0" w:space="0" w:color="auto"/>
                                <w:right w:val="none" w:sz="0" w:space="0" w:color="auto"/>
                              </w:divBdr>
                              <w:divsChild>
                                <w:div w:id="1227186607">
                                  <w:marLeft w:val="0"/>
                                  <w:marRight w:val="0"/>
                                  <w:marTop w:val="0"/>
                                  <w:marBottom w:val="0"/>
                                  <w:divBdr>
                                    <w:top w:val="none" w:sz="0" w:space="0" w:color="auto"/>
                                    <w:left w:val="none" w:sz="0" w:space="0" w:color="auto"/>
                                    <w:bottom w:val="none" w:sz="0" w:space="0" w:color="auto"/>
                                    <w:right w:val="none" w:sz="0" w:space="0" w:color="auto"/>
                                  </w:divBdr>
                                  <w:divsChild>
                                    <w:div w:id="1865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2957">
      <w:bodyDiv w:val="1"/>
      <w:marLeft w:val="0"/>
      <w:marRight w:val="0"/>
      <w:marTop w:val="0"/>
      <w:marBottom w:val="0"/>
      <w:divBdr>
        <w:top w:val="none" w:sz="0" w:space="0" w:color="auto"/>
        <w:left w:val="none" w:sz="0" w:space="0" w:color="auto"/>
        <w:bottom w:val="none" w:sz="0" w:space="0" w:color="auto"/>
        <w:right w:val="none" w:sz="0" w:space="0" w:color="auto"/>
      </w:divBdr>
    </w:div>
    <w:div w:id="1002393995">
      <w:bodyDiv w:val="1"/>
      <w:marLeft w:val="0"/>
      <w:marRight w:val="0"/>
      <w:marTop w:val="0"/>
      <w:marBottom w:val="0"/>
      <w:divBdr>
        <w:top w:val="none" w:sz="0" w:space="0" w:color="auto"/>
        <w:left w:val="none" w:sz="0" w:space="0" w:color="auto"/>
        <w:bottom w:val="none" w:sz="0" w:space="0" w:color="auto"/>
        <w:right w:val="none" w:sz="0" w:space="0" w:color="auto"/>
      </w:divBdr>
    </w:div>
    <w:div w:id="1583224918">
      <w:bodyDiv w:val="1"/>
      <w:marLeft w:val="0"/>
      <w:marRight w:val="0"/>
      <w:marTop w:val="0"/>
      <w:marBottom w:val="0"/>
      <w:divBdr>
        <w:top w:val="none" w:sz="0" w:space="0" w:color="auto"/>
        <w:left w:val="none" w:sz="0" w:space="0" w:color="auto"/>
        <w:bottom w:val="none" w:sz="0" w:space="0" w:color="auto"/>
        <w:right w:val="none" w:sz="0" w:space="0" w:color="auto"/>
      </w:divBdr>
    </w:div>
    <w:div w:id="1744568365">
      <w:bodyDiv w:val="1"/>
      <w:marLeft w:val="0"/>
      <w:marRight w:val="0"/>
      <w:marTop w:val="0"/>
      <w:marBottom w:val="0"/>
      <w:divBdr>
        <w:top w:val="none" w:sz="0" w:space="0" w:color="auto"/>
        <w:left w:val="none" w:sz="0" w:space="0" w:color="auto"/>
        <w:bottom w:val="none" w:sz="0" w:space="0" w:color="auto"/>
        <w:right w:val="none" w:sz="0" w:space="0" w:color="auto"/>
      </w:divBdr>
    </w:div>
    <w:div w:id="20588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sm.sante.fr/Activites/Autorisations-temporaires-d-utilisation-ATU/ATU-de-cohorte-en-cours/Liste-des-ATU-de-cohorte-en-cours/LUMACAFTOR-IVACAFTOR-VERTEX-200-mg-125-mg-comprime-pellicule" TargetMode="External"/><Relationship Id="rId5" Type="http://schemas.openxmlformats.org/officeDocument/2006/relationships/settings" Target="settings.xml"/><Relationship Id="rId10" Type="http://schemas.openxmlformats.org/officeDocument/2006/relationships/hyperlink" Target="http://ansm.sante.fr/Activites/Autorisations-temporaires-d-utilisation-ATU/ATU-de-cohorte-en-cours/Liste-des-ATU-de-cohorte-en-cours/LUMACAFTOR-IVACAFTOR-VERTEX-200-mg-125-mg-comprime-pellicule" TargetMode="External"/><Relationship Id="rId4" Type="http://schemas.microsoft.com/office/2007/relationships/stylesWithEffects" Target="stylesWithEffects.xml"/><Relationship Id="rId9" Type="http://schemas.openxmlformats.org/officeDocument/2006/relationships/hyperlink" Target="http://fr.wikipedia.org/wiki/G%C3%A8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CDB0-4EDB-4F1E-A2FE-6F8A5811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10840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De Carli</dc:creator>
  <cp:lastModifiedBy>Diane HERISSE</cp:lastModifiedBy>
  <cp:revision>2</cp:revision>
  <cp:lastPrinted>2015-12-24T10:40:00Z</cp:lastPrinted>
  <dcterms:created xsi:type="dcterms:W3CDTF">2015-12-24T11:17:00Z</dcterms:created>
  <dcterms:modified xsi:type="dcterms:W3CDTF">2015-12-24T11:17:00Z</dcterms:modified>
</cp:coreProperties>
</file>